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829D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 w14:paraId="3B46BB3E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jc w:val="both"/>
        <w:textAlignment w:val="auto"/>
        <w:rPr>
          <w:rFonts w:ascii="Times New Roman" w:hAnsi="Times New Roman" w:eastAsia="方正仿宋_GBK" w:cs="Times New Roman"/>
          <w:sz w:val="32"/>
          <w:szCs w:val="20"/>
        </w:rPr>
      </w:pPr>
    </w:p>
    <w:p w14:paraId="21306102">
      <w:pPr>
        <w:shd w:val="clear" w:color="auto" w:fill="FFFFFF"/>
        <w:snapToGrid w:val="0"/>
        <w:spacing w:line="578" w:lineRule="exact"/>
        <w:jc w:val="center"/>
        <w:rPr>
          <w:rFonts w:ascii="Cambria" w:hAnsi="Cambria" w:eastAsia="方正小标宋_GBK"/>
          <w:sz w:val="44"/>
          <w:szCs w:val="44"/>
        </w:rPr>
      </w:pPr>
      <w:r>
        <w:rPr>
          <w:rFonts w:ascii="Cambria" w:hAnsi="Cambria" w:eastAsia="方正小标宋_GBK"/>
          <w:sz w:val="44"/>
          <w:szCs w:val="44"/>
        </w:rPr>
        <w:t>重庆市长寿区人民政府</w:t>
      </w:r>
    </w:p>
    <w:p w14:paraId="68DB3B00">
      <w:pPr>
        <w:shd w:val="clear" w:color="auto" w:fill="FFFFFF"/>
        <w:snapToGrid w:val="0"/>
        <w:spacing w:line="578" w:lineRule="exact"/>
        <w:jc w:val="center"/>
        <w:rPr>
          <w:rFonts w:ascii="Cambria" w:hAnsi="Cambria" w:eastAsia="方正小标宋_GBK"/>
          <w:sz w:val="44"/>
          <w:szCs w:val="44"/>
        </w:rPr>
      </w:pPr>
      <w:r>
        <w:rPr>
          <w:rFonts w:hint="eastAsia" w:ascii="Cambria" w:hAnsi="Cambria" w:eastAsia="方正小标宋_GBK"/>
          <w:w w:val="96"/>
          <w:sz w:val="44"/>
          <w:szCs w:val="44"/>
        </w:rPr>
        <w:t>关于调整</w:t>
      </w:r>
      <w:r>
        <w:rPr>
          <w:rFonts w:hint="default" w:ascii="Times New Roman" w:hAnsi="Times New Roman" w:eastAsia="方正小标宋_GBK" w:cs="Times New Roman"/>
          <w:w w:val="96"/>
          <w:sz w:val="44"/>
          <w:szCs w:val="44"/>
        </w:rPr>
        <w:t>长寿区大洪湖水库洪湖水厂（万顺水厂）</w:t>
      </w:r>
      <w:r>
        <w:rPr>
          <w:rFonts w:hint="eastAsia" w:ascii="Cambria" w:hAnsi="Cambria" w:eastAsia="方正小标宋_GBK"/>
          <w:sz w:val="44"/>
          <w:szCs w:val="44"/>
        </w:rPr>
        <w:t>集中式饮用水水源地保护区的通知</w:t>
      </w:r>
    </w:p>
    <w:p w14:paraId="6B00E70C"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jc w:val="center"/>
        <w:textAlignment w:val="auto"/>
        <w:rPr>
          <w:rFonts w:ascii="Times New Roman" w:hAnsi="Times New Roman" w:eastAsia="方正仿宋_GBK" w:cs="Times New Roman"/>
          <w:sz w:val="32"/>
          <w:szCs w:val="20"/>
        </w:rPr>
      </w:pPr>
      <w:r>
        <w:rPr>
          <w:rFonts w:ascii="Times New Roman" w:hAnsi="Times New Roman" w:eastAsia="方正仿宋_GBK" w:cs="Times New Roman"/>
          <w:sz w:val="32"/>
          <w:szCs w:val="20"/>
        </w:rPr>
        <w:t>长寿府发〔202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5</w:t>
      </w:r>
      <w:r>
        <w:rPr>
          <w:rFonts w:ascii="Times New Roman" w:hAnsi="Times New Roman" w:eastAsia="方正仿宋_GBK" w:cs="Times New Roman"/>
          <w:sz w:val="32"/>
          <w:szCs w:val="20"/>
        </w:rPr>
        <w:t>〕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9</w:t>
      </w:r>
      <w:r>
        <w:rPr>
          <w:rFonts w:ascii="Times New Roman" w:hAnsi="Times New Roman" w:eastAsia="方正仿宋_GBK" w:cs="Times New Roman"/>
          <w:sz w:val="32"/>
          <w:szCs w:val="20"/>
        </w:rPr>
        <w:t>号</w:t>
      </w:r>
    </w:p>
    <w:p w14:paraId="33842837"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textAlignment w:val="auto"/>
        <w:rPr>
          <w:rFonts w:ascii="Times New Roman" w:hAnsi="Times New Roman" w:eastAsia="方正仿宋_GBK" w:cs="Times New Roman"/>
          <w:sz w:val="32"/>
          <w:szCs w:val="20"/>
        </w:rPr>
      </w:pPr>
    </w:p>
    <w:p w14:paraId="34EE0590"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ascii="Cambria" w:hAnsi="Cambria" w:eastAsia="方正仿宋_GBK" w:cs="Times New Roman"/>
          <w:sz w:val="32"/>
          <w:szCs w:val="20"/>
        </w:rPr>
      </w:pPr>
      <w:r>
        <w:rPr>
          <w:rFonts w:hint="eastAsia" w:ascii="Cambria" w:hAnsi="Cambria" w:eastAsia="方正仿宋_GBK" w:cs="Times New Roman"/>
          <w:sz w:val="32"/>
          <w:szCs w:val="20"/>
          <w:lang w:eastAsia="zh-CN"/>
        </w:rPr>
        <w:t>洪湖镇、万顺镇人民政府，</w:t>
      </w:r>
      <w:r>
        <w:rPr>
          <w:rFonts w:ascii="Cambria" w:hAnsi="Cambria" w:eastAsia="方正仿宋_GBK" w:cs="Times New Roman"/>
          <w:sz w:val="32"/>
          <w:szCs w:val="20"/>
        </w:rPr>
        <w:t>各相关单位：</w:t>
      </w:r>
    </w:p>
    <w:p w14:paraId="6E519740"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Cambria" w:hAnsi="Cambria" w:eastAsia="方正仿宋_GBK" w:cs="Times New Roman"/>
          <w:sz w:val="32"/>
          <w:szCs w:val="20"/>
        </w:rPr>
      </w:pPr>
      <w:r>
        <w:rPr>
          <w:rFonts w:ascii="Times New Roman" w:hAnsi="Times New Roman" w:eastAsia="方正仿宋_GBK" w:cs="Times New Roman"/>
          <w:sz w:val="32"/>
          <w:szCs w:val="20"/>
        </w:rPr>
        <w:t>经市政府批复同意，按照市生态环境局《</w:t>
      </w:r>
      <w:r>
        <w:rPr>
          <w:rFonts w:hint="eastAsia" w:ascii="Times New Roman" w:hAnsi="Times New Roman" w:eastAsia="方正仿宋_GBK" w:cs="Times New Roman"/>
          <w:sz w:val="32"/>
          <w:szCs w:val="20"/>
        </w:rPr>
        <w:t>关于公布实施万州等区县集中式饮用水水源地保护区的函</w:t>
      </w:r>
      <w:r>
        <w:rPr>
          <w:rFonts w:ascii="Times New Roman" w:hAnsi="Times New Roman" w:eastAsia="方正仿宋_GBK" w:cs="Times New Roman"/>
          <w:sz w:val="32"/>
          <w:szCs w:val="20"/>
        </w:rPr>
        <w:t>》（</w:t>
      </w:r>
      <w:r>
        <w:rPr>
          <w:rFonts w:hint="eastAsia" w:ascii="Times New Roman" w:hAnsi="Times New Roman" w:eastAsia="方正仿宋_GBK" w:cs="Times New Roman"/>
          <w:sz w:val="32"/>
          <w:szCs w:val="20"/>
        </w:rPr>
        <w:t>渝环函〔2025〕27号</w:t>
      </w:r>
      <w:r>
        <w:rPr>
          <w:rFonts w:ascii="Times New Roman" w:hAnsi="Times New Roman" w:eastAsia="方正仿宋_GBK" w:cs="Times New Roman"/>
          <w:sz w:val="32"/>
          <w:szCs w:val="20"/>
        </w:rPr>
        <w:t>）</w:t>
      </w:r>
      <w:r>
        <w:rPr>
          <w:rFonts w:ascii="Cambria" w:hAnsi="Cambria" w:eastAsia="方正仿宋_GBK" w:cs="Times New Roman"/>
          <w:sz w:val="32"/>
          <w:szCs w:val="20"/>
        </w:rPr>
        <w:t>文件精神，现对</w:t>
      </w:r>
      <w:r>
        <w:rPr>
          <w:rFonts w:hint="eastAsia" w:ascii="Cambria" w:hAnsi="Cambria" w:eastAsia="方正仿宋_GBK" w:cs="Times New Roman"/>
          <w:sz w:val="32"/>
          <w:szCs w:val="20"/>
        </w:rPr>
        <w:t>长寿区大洪湖水库洪湖水厂（万顺水厂）集中式</w:t>
      </w:r>
      <w:r>
        <w:rPr>
          <w:rFonts w:hint="eastAsia" w:ascii="Cambria" w:hAnsi="Cambria" w:eastAsia="方正仿宋_GBK" w:cs="Times New Roman"/>
          <w:sz w:val="32"/>
          <w:szCs w:val="20"/>
          <w:lang w:eastAsia="zh-CN"/>
        </w:rPr>
        <w:t>饮用水水源地</w:t>
      </w:r>
      <w:r>
        <w:rPr>
          <w:rFonts w:ascii="Cambria" w:hAnsi="Cambria" w:eastAsia="方正仿宋_GBK" w:cs="Times New Roman"/>
          <w:sz w:val="32"/>
          <w:szCs w:val="20"/>
        </w:rPr>
        <w:t>保护区予以</w:t>
      </w:r>
      <w:r>
        <w:rPr>
          <w:rFonts w:hint="eastAsia" w:ascii="Cambria" w:hAnsi="Cambria" w:eastAsia="方正仿宋_GBK" w:cs="Times New Roman"/>
          <w:sz w:val="32"/>
          <w:szCs w:val="20"/>
          <w:lang w:eastAsia="zh-CN"/>
        </w:rPr>
        <w:t>调整</w:t>
      </w:r>
      <w:r>
        <w:rPr>
          <w:rFonts w:ascii="Cambria" w:hAnsi="Cambria" w:eastAsia="方正仿宋_GBK" w:cs="Times New Roman"/>
          <w:sz w:val="32"/>
          <w:szCs w:val="20"/>
        </w:rPr>
        <w:t>，请</w:t>
      </w:r>
      <w:r>
        <w:rPr>
          <w:rFonts w:hint="eastAsia" w:ascii="Cambria" w:hAnsi="Cambria" w:eastAsia="方正仿宋_GBK" w:cs="Times New Roman"/>
          <w:sz w:val="32"/>
          <w:szCs w:val="20"/>
          <w:lang w:eastAsia="zh-CN"/>
        </w:rPr>
        <w:t>相关单位根据保护区划分完善水源地规范化建设工作，并会同相关街镇</w:t>
      </w:r>
      <w:r>
        <w:rPr>
          <w:rFonts w:ascii="Times New Roman" w:hAnsi="Times New Roman" w:eastAsia="方正仿宋_GBK" w:cs="Times New Roman"/>
          <w:color w:val="auto"/>
          <w:spacing w:val="0"/>
          <w:sz w:val="32"/>
          <w:szCs w:val="20"/>
        </w:rPr>
        <w:t>按照集中式饮用水水源地管理要求做好相关保护工作，确保饮用水水源地水质安全</w:t>
      </w:r>
      <w:r>
        <w:rPr>
          <w:rFonts w:ascii="Cambria" w:hAnsi="Cambria" w:eastAsia="方正仿宋_GBK" w:cs="Times New Roman"/>
          <w:sz w:val="32"/>
          <w:szCs w:val="20"/>
        </w:rPr>
        <w:t>。</w:t>
      </w:r>
    </w:p>
    <w:p w14:paraId="581CCF89"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ascii="Cambria" w:hAnsi="Cambria" w:eastAsia="方正仿宋_GBK" w:cs="Times New Roman"/>
          <w:sz w:val="32"/>
          <w:szCs w:val="20"/>
        </w:rPr>
      </w:pPr>
      <w:r>
        <w:rPr>
          <w:rFonts w:ascii="Cambria" w:hAnsi="Cambria" w:eastAsia="方正仿宋_GBK" w:cs="Times New Roman"/>
          <w:sz w:val="32"/>
          <w:szCs w:val="20"/>
        </w:rPr>
        <w:t>附件：</w:t>
      </w:r>
      <w:r>
        <w:rPr>
          <w:rFonts w:hint="eastAsia" w:ascii="Cambria" w:hAnsi="Cambria" w:eastAsia="方正仿宋_GBK" w:cs="Times New Roman"/>
          <w:sz w:val="32"/>
          <w:szCs w:val="20"/>
        </w:rPr>
        <w:t>长寿区大洪湖水库洪湖水厂（万顺水厂）集中式饮用水水源地</w:t>
      </w:r>
      <w:r>
        <w:rPr>
          <w:rFonts w:ascii="Cambria" w:hAnsi="Cambria" w:eastAsia="方正仿宋_GBK" w:cs="Times New Roman"/>
          <w:sz w:val="32"/>
          <w:szCs w:val="20"/>
        </w:rPr>
        <w:t>保护区</w:t>
      </w:r>
      <w:r>
        <w:rPr>
          <w:rFonts w:hint="eastAsia" w:ascii="Cambria" w:hAnsi="Cambria" w:eastAsia="方正仿宋_GBK" w:cs="Times New Roman"/>
          <w:sz w:val="32"/>
          <w:szCs w:val="20"/>
          <w:lang w:eastAsia="zh-CN"/>
        </w:rPr>
        <w:t>调整</w:t>
      </w:r>
      <w:r>
        <w:rPr>
          <w:rFonts w:ascii="Cambria" w:hAnsi="Cambria" w:eastAsia="方正仿宋_GBK" w:cs="Times New Roman"/>
          <w:sz w:val="32"/>
          <w:szCs w:val="20"/>
        </w:rPr>
        <w:t>方案</w:t>
      </w:r>
    </w:p>
    <w:p w14:paraId="2C1019D8"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Cambria" w:hAnsi="Cambria" w:eastAsia="方正仿宋_GBK" w:cs="Times New Roman"/>
          <w:sz w:val="32"/>
          <w:szCs w:val="20"/>
        </w:rPr>
      </w:pPr>
    </w:p>
    <w:p w14:paraId="27350ADA"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ascii="Cambria" w:hAnsi="Cambria" w:eastAsia="方正仿宋_GBK" w:cs="Times New Roman"/>
          <w:sz w:val="32"/>
          <w:szCs w:val="20"/>
        </w:rPr>
      </w:pPr>
    </w:p>
    <w:p w14:paraId="7E9792ED"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73" w:firstLineChars="1523"/>
        <w:textAlignment w:val="auto"/>
        <w:rPr>
          <w:rFonts w:ascii="Cambria" w:hAnsi="Cambria" w:eastAsia="方正仿宋_GBK" w:cs="Times New Roman"/>
          <w:sz w:val="32"/>
          <w:szCs w:val="20"/>
        </w:rPr>
      </w:pPr>
      <w:r>
        <w:rPr>
          <w:rFonts w:ascii="Cambria" w:hAnsi="Cambria" w:eastAsia="方正仿宋_GBK" w:cs="Times New Roman"/>
          <w:sz w:val="32"/>
          <w:szCs w:val="20"/>
        </w:rPr>
        <w:t>重庆市长寿区人民政府</w:t>
      </w:r>
    </w:p>
    <w:p w14:paraId="5F60BF9F"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840" w:rightChars="400"/>
        <w:jc w:val="center"/>
        <w:textAlignment w:val="auto"/>
        <w:rPr>
          <w:rFonts w:ascii="Times New Roman" w:hAnsi="Times New Roman" w:eastAsia="方正仿宋_GBK" w:cs="Times New Roman"/>
          <w:sz w:val="32"/>
          <w:szCs w:val="20"/>
        </w:rPr>
      </w:pP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 xml:space="preserve">                              </w:t>
      </w:r>
      <w:r>
        <w:rPr>
          <w:rFonts w:ascii="Times New Roman" w:hAnsi="Times New Roman" w:eastAsia="方正仿宋_GBK" w:cs="Times New Roman"/>
          <w:sz w:val="32"/>
          <w:szCs w:val="20"/>
        </w:rPr>
        <w:t>202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5</w:t>
      </w:r>
      <w:r>
        <w:rPr>
          <w:rFonts w:ascii="Times New Roman" w:hAnsi="Times New Roman" w:eastAsia="方正仿宋_GBK" w:cs="Times New Roman"/>
          <w:sz w:val="32"/>
          <w:szCs w:val="20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3</w:t>
      </w:r>
      <w:r>
        <w:rPr>
          <w:rFonts w:ascii="Times New Roman" w:hAnsi="Times New Roman" w:eastAsia="方正仿宋_GBK" w:cs="Times New Roman"/>
          <w:sz w:val="32"/>
          <w:szCs w:val="20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17</w:t>
      </w:r>
      <w:r>
        <w:rPr>
          <w:rFonts w:ascii="Times New Roman" w:hAnsi="Times New Roman" w:eastAsia="方正仿宋_GBK" w:cs="Times New Roman"/>
          <w:sz w:val="32"/>
          <w:szCs w:val="20"/>
        </w:rPr>
        <w:t>日</w:t>
      </w:r>
    </w:p>
    <w:p w14:paraId="48936FCE"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640" w:firstLineChars="200"/>
        <w:textAlignment w:val="auto"/>
        <w:rPr>
          <w:rFonts w:hint="eastAsia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1962" w:right="1474" w:bottom="1848" w:left="158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0" w:num="1"/>
          <w:rtlGutter w:val="0"/>
          <w:docGrid w:type="lines" w:linePitch="312" w:charSpace="0"/>
        </w:sectPr>
      </w:pPr>
      <w:r>
        <w:rPr>
          <w:rFonts w:hint="eastAsia" w:ascii="Cambria" w:hAnsi="Cambria" w:eastAsia="方正仿宋_GBK" w:cs="Times New Roman"/>
          <w:sz w:val="32"/>
          <w:szCs w:val="20"/>
        </w:rPr>
        <w:t>（此件公开发布）</w:t>
      </w:r>
    </w:p>
    <w:p w14:paraId="1BE68A2F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ascii="Cambria" w:hAnsi="Cambria" w:eastAsia="黑体" w:cs="Times New Roman"/>
          <w:sz w:val="32"/>
          <w:szCs w:val="20"/>
        </w:rPr>
      </w:pPr>
      <w:r>
        <w:rPr>
          <w:rFonts w:ascii="Cambria" w:hAnsi="Cambria" w:eastAsia="方正黑体_GBK" w:cs="Times New Roman"/>
          <w:sz w:val="32"/>
          <w:szCs w:val="20"/>
        </w:rPr>
        <w:t>附件</w:t>
      </w:r>
    </w:p>
    <w:p w14:paraId="0839DF6D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hanging="17"/>
        <w:jc w:val="center"/>
        <w:textAlignment w:val="auto"/>
        <w:rPr>
          <w:rFonts w:hint="eastAsia" w:ascii="Cambria" w:hAnsi="Cambria" w:eastAsia="方正小标宋_GBK" w:cs="方正小标宋_GBK"/>
          <w:sz w:val="44"/>
          <w:szCs w:val="44"/>
        </w:rPr>
      </w:pPr>
      <w:r>
        <w:rPr>
          <w:rFonts w:hint="eastAsia" w:ascii="Cambria" w:hAnsi="Cambria" w:eastAsia="方正小标宋_GBK" w:cs="方正小标宋_GBK"/>
          <w:sz w:val="44"/>
          <w:szCs w:val="44"/>
        </w:rPr>
        <w:t>长寿区大洪湖水库洪湖水厂（万顺水厂）集中式饮用水</w:t>
      </w:r>
    </w:p>
    <w:p w14:paraId="66679DA5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hanging="17"/>
        <w:jc w:val="center"/>
        <w:textAlignment w:val="auto"/>
        <w:rPr>
          <w:rFonts w:ascii="Cambria" w:hAnsi="Cambria" w:eastAsia="方正小标宋_GBK" w:cs="方正小标宋_GBK"/>
          <w:sz w:val="44"/>
          <w:szCs w:val="44"/>
        </w:rPr>
      </w:pPr>
      <w:r>
        <w:rPr>
          <w:rFonts w:hint="eastAsia" w:ascii="Cambria" w:hAnsi="Cambria" w:eastAsia="方正小标宋_GBK" w:cs="方正小标宋_GBK"/>
          <w:sz w:val="44"/>
          <w:szCs w:val="44"/>
        </w:rPr>
        <w:t>水源地</w:t>
      </w:r>
      <w:r>
        <w:rPr>
          <w:rFonts w:ascii="Cambria" w:hAnsi="Cambria" w:eastAsia="方正小标宋_GBK" w:cs="方正小标宋_GBK"/>
          <w:sz w:val="44"/>
          <w:szCs w:val="44"/>
        </w:rPr>
        <w:t>保护区</w:t>
      </w:r>
      <w:r>
        <w:rPr>
          <w:rFonts w:hint="eastAsia" w:ascii="Cambria" w:hAnsi="Cambria" w:eastAsia="方正小标宋_GBK" w:cs="方正小标宋_GBK"/>
          <w:sz w:val="44"/>
          <w:szCs w:val="44"/>
          <w:lang w:eastAsia="zh-CN"/>
        </w:rPr>
        <w:t>调整</w:t>
      </w:r>
      <w:r>
        <w:rPr>
          <w:rFonts w:ascii="Cambria" w:hAnsi="Cambria" w:eastAsia="方正小标宋_GBK" w:cs="方正小标宋_GBK"/>
          <w:sz w:val="44"/>
          <w:szCs w:val="44"/>
        </w:rPr>
        <w:t>方案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1020"/>
        <w:gridCol w:w="870"/>
        <w:gridCol w:w="1125"/>
        <w:gridCol w:w="1110"/>
        <w:gridCol w:w="1170"/>
        <w:gridCol w:w="2160"/>
        <w:gridCol w:w="1470"/>
        <w:gridCol w:w="1425"/>
        <w:gridCol w:w="1617"/>
        <w:gridCol w:w="900"/>
        <w:gridCol w:w="872"/>
      </w:tblGrid>
      <w:tr w14:paraId="32A11C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549" w:type="dxa"/>
            <w:vMerge w:val="restart"/>
            <w:noWrap w:val="0"/>
            <w:vAlign w:val="center"/>
          </w:tcPr>
          <w:p w14:paraId="7F0114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80" w:lineRule="exact"/>
              <w:ind w:left="0" w:leftChars="0" w:right="0" w:rightChars="0"/>
              <w:jc w:val="center"/>
              <w:outlineLvl w:val="9"/>
              <w:rPr>
                <w:rFonts w:ascii="Times New Roman" w:hAnsi="Times New Roman" w:eastAsia="方正黑体_GBK" w:cs="Times New Roman"/>
                <w:bCs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方正黑体_GBK" w:cs="Times New Roman"/>
                <w:bCs/>
                <w:color w:val="auto"/>
                <w:kern w:val="0"/>
                <w:sz w:val="21"/>
                <w:szCs w:val="21"/>
                <w:lang w:bidi="ar"/>
              </w:rPr>
              <w:t>序号</w:t>
            </w:r>
          </w:p>
        </w:tc>
        <w:tc>
          <w:tcPr>
            <w:tcW w:w="1020" w:type="dxa"/>
            <w:vMerge w:val="restart"/>
            <w:noWrap w:val="0"/>
            <w:vAlign w:val="center"/>
          </w:tcPr>
          <w:p w14:paraId="063161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80" w:lineRule="exact"/>
              <w:ind w:left="0" w:leftChars="0" w:right="0" w:rightChars="0"/>
              <w:jc w:val="center"/>
              <w:outlineLvl w:val="9"/>
              <w:rPr>
                <w:rFonts w:hint="eastAsia" w:ascii="Times New Roman" w:hAnsi="Times New Roman" w:eastAsia="方正黑体_GBK" w:cs="Times New Roman"/>
                <w:bCs/>
                <w:color w:val="auto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bCs/>
                <w:color w:val="auto"/>
                <w:kern w:val="0"/>
                <w:sz w:val="21"/>
                <w:szCs w:val="21"/>
                <w:lang w:eastAsia="zh-CN" w:bidi="ar"/>
              </w:rPr>
              <w:t>街镇</w:t>
            </w:r>
          </w:p>
        </w:tc>
        <w:tc>
          <w:tcPr>
            <w:tcW w:w="870" w:type="dxa"/>
            <w:vMerge w:val="restart"/>
            <w:noWrap w:val="0"/>
            <w:vAlign w:val="center"/>
          </w:tcPr>
          <w:p w14:paraId="6AE8F3C3">
            <w:pPr>
              <w:keepNext w:val="0"/>
              <w:keepLines w:val="0"/>
              <w:pageBreakBefore w:val="0"/>
              <w:tabs>
                <w:tab w:val="left" w:pos="377"/>
              </w:tabs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80" w:lineRule="exact"/>
              <w:ind w:left="0" w:leftChars="0" w:right="0" w:rightChars="0"/>
              <w:jc w:val="left"/>
              <w:outlineLvl w:val="9"/>
              <w:rPr>
                <w:rFonts w:ascii="Times New Roman" w:hAnsi="Times New Roman" w:eastAsia="方正黑体_GBK" w:cs="Times New Roman"/>
                <w:bCs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方正黑体_GBK" w:cs="Times New Roman"/>
                <w:bCs/>
                <w:color w:val="auto"/>
                <w:kern w:val="0"/>
                <w:sz w:val="21"/>
                <w:szCs w:val="21"/>
                <w:lang w:bidi="ar"/>
              </w:rPr>
              <w:t>状态</w:t>
            </w:r>
          </w:p>
        </w:tc>
        <w:tc>
          <w:tcPr>
            <w:tcW w:w="1125" w:type="dxa"/>
            <w:vMerge w:val="restart"/>
            <w:noWrap w:val="0"/>
            <w:vAlign w:val="center"/>
          </w:tcPr>
          <w:p w14:paraId="3E38B8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80" w:lineRule="exact"/>
              <w:ind w:left="0" w:leftChars="0" w:right="0" w:rightChars="0"/>
              <w:jc w:val="center"/>
              <w:outlineLvl w:val="9"/>
              <w:rPr>
                <w:rFonts w:ascii="Times New Roman" w:hAnsi="Times New Roman" w:eastAsia="方正黑体_GBK" w:cs="Times New Roman"/>
                <w:bCs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方正黑体_GBK" w:cs="Times New Roman"/>
                <w:bCs/>
                <w:color w:val="auto"/>
                <w:kern w:val="0"/>
                <w:sz w:val="21"/>
                <w:szCs w:val="21"/>
                <w:lang w:bidi="ar"/>
              </w:rPr>
              <w:t>水厂名称</w:t>
            </w:r>
          </w:p>
        </w:tc>
        <w:tc>
          <w:tcPr>
            <w:tcW w:w="1110" w:type="dxa"/>
            <w:vMerge w:val="restart"/>
            <w:noWrap w:val="0"/>
            <w:vAlign w:val="center"/>
          </w:tcPr>
          <w:p w14:paraId="470652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80" w:lineRule="exact"/>
              <w:ind w:left="0" w:leftChars="0" w:right="0" w:rightChars="0"/>
              <w:jc w:val="center"/>
              <w:outlineLvl w:val="9"/>
              <w:rPr>
                <w:rFonts w:ascii="Times New Roman" w:hAnsi="Times New Roman" w:eastAsia="方正黑体_GBK" w:cs="Times New Roman"/>
                <w:bCs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方正黑体_GBK" w:cs="Times New Roman"/>
                <w:bCs/>
                <w:color w:val="auto"/>
                <w:kern w:val="0"/>
                <w:sz w:val="21"/>
                <w:szCs w:val="21"/>
                <w:lang w:bidi="ar"/>
              </w:rPr>
              <w:t>水源名称</w:t>
            </w:r>
          </w:p>
        </w:tc>
        <w:tc>
          <w:tcPr>
            <w:tcW w:w="1170" w:type="dxa"/>
            <w:vMerge w:val="restart"/>
            <w:noWrap w:val="0"/>
            <w:vAlign w:val="center"/>
          </w:tcPr>
          <w:p w14:paraId="28C868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80" w:lineRule="exact"/>
              <w:ind w:left="0" w:leftChars="0" w:right="0" w:rightChars="0"/>
              <w:jc w:val="center"/>
              <w:outlineLvl w:val="9"/>
              <w:rPr>
                <w:rFonts w:ascii="Times New Roman" w:hAnsi="Times New Roman" w:eastAsia="方正黑体_GBK" w:cs="Times New Roman"/>
                <w:bCs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方正黑体_GBK" w:cs="Times New Roman"/>
                <w:bCs/>
                <w:color w:val="auto"/>
                <w:kern w:val="0"/>
                <w:sz w:val="21"/>
                <w:szCs w:val="21"/>
                <w:lang w:bidi="ar"/>
              </w:rPr>
              <w:t>水源类型</w:t>
            </w:r>
          </w:p>
        </w:tc>
        <w:tc>
          <w:tcPr>
            <w:tcW w:w="8444" w:type="dxa"/>
            <w:gridSpan w:val="6"/>
            <w:noWrap w:val="0"/>
            <w:vAlign w:val="center"/>
          </w:tcPr>
          <w:p w14:paraId="697FBB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80" w:lineRule="exact"/>
              <w:ind w:left="0" w:leftChars="0" w:right="0" w:rightChars="0"/>
              <w:jc w:val="center"/>
              <w:outlineLvl w:val="9"/>
              <w:rPr>
                <w:rFonts w:ascii="Times New Roman" w:hAnsi="Times New Roman" w:eastAsia="方正黑体_GBK" w:cs="Times New Roman"/>
                <w:bCs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方正黑体_GBK" w:cs="Times New Roman"/>
                <w:bCs/>
                <w:color w:val="auto"/>
                <w:kern w:val="0"/>
                <w:sz w:val="21"/>
                <w:szCs w:val="21"/>
                <w:lang w:bidi="ar"/>
              </w:rPr>
              <w:t>保护区范围划分</w:t>
            </w:r>
          </w:p>
        </w:tc>
      </w:tr>
      <w:tr w14:paraId="090CF1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549" w:type="dxa"/>
            <w:vMerge w:val="continue"/>
            <w:noWrap w:val="0"/>
            <w:vAlign w:val="center"/>
          </w:tcPr>
          <w:p w14:paraId="009729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80" w:lineRule="exact"/>
              <w:ind w:left="0" w:leftChars="0" w:right="0" w:rightChars="0" w:firstLine="360"/>
              <w:jc w:val="left"/>
              <w:outlineLvl w:val="9"/>
              <w:rPr>
                <w:rFonts w:ascii="Times New Roman" w:hAnsi="Times New Roman" w:eastAsia="方正黑体_GBK" w:cs="Times New Roman"/>
                <w:bCs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7F79CE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80" w:lineRule="exact"/>
              <w:ind w:left="0" w:leftChars="0" w:right="0" w:rightChars="0" w:firstLine="360"/>
              <w:jc w:val="left"/>
              <w:outlineLvl w:val="9"/>
              <w:rPr>
                <w:rFonts w:ascii="Times New Roman" w:hAnsi="Times New Roman" w:eastAsia="方正黑体_GBK" w:cs="Times New Roman"/>
                <w:bCs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870" w:type="dxa"/>
            <w:vMerge w:val="continue"/>
            <w:noWrap w:val="0"/>
            <w:vAlign w:val="center"/>
          </w:tcPr>
          <w:p w14:paraId="294086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80" w:lineRule="exact"/>
              <w:ind w:left="0" w:leftChars="0" w:right="0" w:rightChars="0" w:firstLine="360"/>
              <w:jc w:val="left"/>
              <w:outlineLvl w:val="9"/>
              <w:rPr>
                <w:rFonts w:ascii="Times New Roman" w:hAnsi="Times New Roman" w:eastAsia="方正黑体_GBK" w:cs="Times New Roman"/>
                <w:bCs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125" w:type="dxa"/>
            <w:vMerge w:val="continue"/>
            <w:noWrap w:val="0"/>
            <w:vAlign w:val="center"/>
          </w:tcPr>
          <w:p w14:paraId="38F106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80" w:lineRule="exact"/>
              <w:ind w:left="0" w:leftChars="0" w:right="0" w:rightChars="0" w:firstLine="360"/>
              <w:jc w:val="left"/>
              <w:outlineLvl w:val="9"/>
              <w:rPr>
                <w:rFonts w:ascii="Times New Roman" w:hAnsi="Times New Roman" w:eastAsia="方正黑体_GBK" w:cs="Times New Roman"/>
                <w:bCs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110" w:type="dxa"/>
            <w:vMerge w:val="continue"/>
            <w:noWrap w:val="0"/>
            <w:vAlign w:val="center"/>
          </w:tcPr>
          <w:p w14:paraId="3106CD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80" w:lineRule="exact"/>
              <w:ind w:left="0" w:leftChars="0" w:right="0" w:rightChars="0" w:firstLine="360"/>
              <w:jc w:val="left"/>
              <w:outlineLvl w:val="9"/>
              <w:rPr>
                <w:rFonts w:ascii="Times New Roman" w:hAnsi="Times New Roman" w:eastAsia="方正黑体_GBK" w:cs="Times New Roman"/>
                <w:bCs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170" w:type="dxa"/>
            <w:vMerge w:val="continue"/>
            <w:noWrap w:val="0"/>
            <w:vAlign w:val="center"/>
          </w:tcPr>
          <w:p w14:paraId="5BACAF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80" w:lineRule="exact"/>
              <w:ind w:left="0" w:leftChars="0" w:right="0" w:rightChars="0" w:firstLine="360"/>
              <w:jc w:val="left"/>
              <w:outlineLvl w:val="9"/>
              <w:rPr>
                <w:rFonts w:ascii="Times New Roman" w:hAnsi="Times New Roman" w:eastAsia="方正黑体_GBK" w:cs="Times New Roman"/>
                <w:bCs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3630" w:type="dxa"/>
            <w:gridSpan w:val="2"/>
            <w:noWrap w:val="0"/>
            <w:vAlign w:val="center"/>
          </w:tcPr>
          <w:p w14:paraId="40F6DC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80" w:lineRule="exact"/>
              <w:ind w:left="0" w:leftChars="0" w:right="0" w:rightChars="0"/>
              <w:jc w:val="center"/>
              <w:outlineLvl w:val="9"/>
              <w:rPr>
                <w:rFonts w:ascii="Times New Roman" w:hAnsi="Times New Roman" w:eastAsia="方正黑体_GBK" w:cs="Times New Roman"/>
                <w:bCs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方正黑体_GBK" w:cs="Times New Roman"/>
                <w:bCs/>
                <w:color w:val="auto"/>
                <w:kern w:val="0"/>
                <w:sz w:val="21"/>
                <w:szCs w:val="21"/>
                <w:lang w:bidi="ar"/>
              </w:rPr>
              <w:t>一级保护区</w:t>
            </w:r>
          </w:p>
        </w:tc>
        <w:tc>
          <w:tcPr>
            <w:tcW w:w="3042" w:type="dxa"/>
            <w:gridSpan w:val="2"/>
            <w:noWrap w:val="0"/>
            <w:vAlign w:val="center"/>
          </w:tcPr>
          <w:p w14:paraId="59FF05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80" w:lineRule="exact"/>
              <w:ind w:left="0" w:leftChars="0" w:right="0" w:rightChars="0" w:firstLine="8" w:firstLineChars="4"/>
              <w:jc w:val="center"/>
              <w:outlineLvl w:val="9"/>
              <w:rPr>
                <w:rFonts w:ascii="Times New Roman" w:hAnsi="Times New Roman" w:eastAsia="方正黑体_GBK" w:cs="Times New Roman"/>
                <w:bCs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方正黑体_GBK" w:cs="Times New Roman"/>
                <w:bCs/>
                <w:color w:val="auto"/>
                <w:kern w:val="0"/>
                <w:sz w:val="21"/>
                <w:szCs w:val="21"/>
                <w:lang w:bidi="ar"/>
              </w:rPr>
              <w:t>二级保护区</w:t>
            </w:r>
          </w:p>
        </w:tc>
        <w:tc>
          <w:tcPr>
            <w:tcW w:w="1772" w:type="dxa"/>
            <w:gridSpan w:val="2"/>
            <w:noWrap w:val="0"/>
            <w:vAlign w:val="center"/>
          </w:tcPr>
          <w:p w14:paraId="10C282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80" w:lineRule="exact"/>
              <w:ind w:left="0" w:leftChars="0" w:right="0" w:rightChars="0" w:firstLine="8" w:firstLineChars="4"/>
              <w:jc w:val="center"/>
              <w:outlineLvl w:val="9"/>
              <w:rPr>
                <w:rFonts w:ascii="Times New Roman" w:hAnsi="Times New Roman" w:eastAsia="方正黑体_GBK" w:cs="Times New Roman"/>
                <w:bCs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方正黑体_GBK" w:cs="Times New Roman"/>
                <w:bCs/>
                <w:color w:val="auto"/>
                <w:kern w:val="0"/>
                <w:sz w:val="21"/>
                <w:szCs w:val="21"/>
                <w:lang w:bidi="ar"/>
              </w:rPr>
              <w:t>准保护区</w:t>
            </w:r>
          </w:p>
        </w:tc>
      </w:tr>
      <w:tr w14:paraId="4D97D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549" w:type="dxa"/>
            <w:vMerge w:val="continue"/>
            <w:noWrap w:val="0"/>
            <w:vAlign w:val="center"/>
          </w:tcPr>
          <w:p w14:paraId="3931FA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80" w:lineRule="exact"/>
              <w:ind w:left="0" w:leftChars="0" w:right="0" w:rightChars="0" w:firstLine="360"/>
              <w:jc w:val="left"/>
              <w:outlineLvl w:val="9"/>
              <w:rPr>
                <w:rFonts w:ascii="Times New Roman" w:hAnsi="Times New Roman" w:eastAsia="方正黑体_GBK" w:cs="Times New Roman"/>
                <w:bCs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787307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80" w:lineRule="exact"/>
              <w:ind w:left="0" w:leftChars="0" w:right="0" w:rightChars="0" w:firstLine="360"/>
              <w:jc w:val="left"/>
              <w:outlineLvl w:val="9"/>
              <w:rPr>
                <w:rFonts w:ascii="Times New Roman" w:hAnsi="Times New Roman" w:eastAsia="方正黑体_GBK" w:cs="Times New Roman"/>
                <w:bCs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870" w:type="dxa"/>
            <w:vMerge w:val="continue"/>
            <w:noWrap w:val="0"/>
            <w:vAlign w:val="center"/>
          </w:tcPr>
          <w:p w14:paraId="515855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80" w:lineRule="exact"/>
              <w:ind w:left="0" w:leftChars="0" w:right="0" w:rightChars="0" w:firstLine="360"/>
              <w:jc w:val="left"/>
              <w:outlineLvl w:val="9"/>
              <w:rPr>
                <w:rFonts w:ascii="Times New Roman" w:hAnsi="Times New Roman" w:eastAsia="方正黑体_GBK" w:cs="Times New Roman"/>
                <w:bCs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125" w:type="dxa"/>
            <w:vMerge w:val="continue"/>
            <w:noWrap w:val="0"/>
            <w:vAlign w:val="center"/>
          </w:tcPr>
          <w:p w14:paraId="44667F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80" w:lineRule="exact"/>
              <w:ind w:left="0" w:leftChars="0" w:right="0" w:rightChars="0" w:firstLine="360"/>
              <w:jc w:val="left"/>
              <w:outlineLvl w:val="9"/>
              <w:rPr>
                <w:rFonts w:ascii="Times New Roman" w:hAnsi="Times New Roman" w:eastAsia="方正黑体_GBK" w:cs="Times New Roman"/>
                <w:bCs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110" w:type="dxa"/>
            <w:vMerge w:val="continue"/>
            <w:noWrap w:val="0"/>
            <w:vAlign w:val="center"/>
          </w:tcPr>
          <w:p w14:paraId="4B9508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80" w:lineRule="exact"/>
              <w:ind w:left="0" w:leftChars="0" w:right="0" w:rightChars="0" w:firstLine="360"/>
              <w:jc w:val="left"/>
              <w:outlineLvl w:val="9"/>
              <w:rPr>
                <w:rFonts w:ascii="Times New Roman" w:hAnsi="Times New Roman" w:eastAsia="方正黑体_GBK" w:cs="Times New Roman"/>
                <w:bCs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170" w:type="dxa"/>
            <w:vMerge w:val="continue"/>
            <w:noWrap w:val="0"/>
            <w:vAlign w:val="center"/>
          </w:tcPr>
          <w:p w14:paraId="041A55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80" w:lineRule="exact"/>
              <w:ind w:left="0" w:leftChars="0" w:right="0" w:rightChars="0" w:firstLine="360"/>
              <w:jc w:val="left"/>
              <w:outlineLvl w:val="9"/>
              <w:rPr>
                <w:rFonts w:ascii="Times New Roman" w:hAnsi="Times New Roman" w:eastAsia="方正黑体_GBK" w:cs="Times New Roman"/>
                <w:bCs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2160" w:type="dxa"/>
            <w:noWrap w:val="0"/>
            <w:vAlign w:val="center"/>
          </w:tcPr>
          <w:p w14:paraId="2C5B71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80" w:lineRule="exact"/>
              <w:ind w:left="0" w:leftChars="0" w:right="0" w:rightChars="0"/>
              <w:jc w:val="center"/>
              <w:outlineLvl w:val="9"/>
              <w:rPr>
                <w:rFonts w:ascii="Times New Roman" w:hAnsi="Times New Roman" w:eastAsia="方正黑体_GBK" w:cs="Times New Roman"/>
                <w:bCs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方正黑体_GBK" w:cs="Times New Roman"/>
                <w:bCs/>
                <w:color w:val="auto"/>
                <w:kern w:val="0"/>
                <w:sz w:val="21"/>
                <w:szCs w:val="21"/>
                <w:lang w:bidi="ar"/>
              </w:rPr>
              <w:t>水域范围</w:t>
            </w:r>
          </w:p>
        </w:tc>
        <w:tc>
          <w:tcPr>
            <w:tcW w:w="1470" w:type="dxa"/>
            <w:noWrap w:val="0"/>
            <w:vAlign w:val="center"/>
          </w:tcPr>
          <w:p w14:paraId="383CF5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80" w:lineRule="exact"/>
              <w:ind w:left="0" w:leftChars="0" w:right="0" w:rightChars="0"/>
              <w:jc w:val="center"/>
              <w:outlineLvl w:val="9"/>
              <w:rPr>
                <w:rFonts w:ascii="Times New Roman" w:hAnsi="Times New Roman" w:eastAsia="方正黑体_GBK" w:cs="Times New Roman"/>
                <w:bCs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方正黑体_GBK" w:cs="Times New Roman"/>
                <w:bCs/>
                <w:color w:val="auto"/>
                <w:kern w:val="0"/>
                <w:sz w:val="21"/>
                <w:szCs w:val="21"/>
                <w:lang w:bidi="ar"/>
              </w:rPr>
              <w:t>陆域范围</w:t>
            </w:r>
          </w:p>
        </w:tc>
        <w:tc>
          <w:tcPr>
            <w:tcW w:w="1425" w:type="dxa"/>
            <w:noWrap w:val="0"/>
            <w:vAlign w:val="center"/>
          </w:tcPr>
          <w:p w14:paraId="68D7E7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80" w:lineRule="exact"/>
              <w:ind w:left="0" w:leftChars="0" w:right="0" w:rightChars="0"/>
              <w:jc w:val="center"/>
              <w:outlineLvl w:val="9"/>
              <w:rPr>
                <w:rFonts w:ascii="Times New Roman" w:hAnsi="Times New Roman" w:eastAsia="方正黑体_GBK" w:cs="Times New Roman"/>
                <w:bCs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方正黑体_GBK" w:cs="Times New Roman"/>
                <w:bCs/>
                <w:color w:val="auto"/>
                <w:kern w:val="0"/>
                <w:sz w:val="21"/>
                <w:szCs w:val="21"/>
                <w:lang w:bidi="ar"/>
              </w:rPr>
              <w:t>水域范围</w:t>
            </w:r>
          </w:p>
        </w:tc>
        <w:tc>
          <w:tcPr>
            <w:tcW w:w="1617" w:type="dxa"/>
            <w:noWrap w:val="0"/>
            <w:vAlign w:val="center"/>
          </w:tcPr>
          <w:p w14:paraId="72CA85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80" w:lineRule="exact"/>
              <w:ind w:left="0" w:leftChars="0" w:right="0" w:rightChars="0"/>
              <w:jc w:val="center"/>
              <w:outlineLvl w:val="9"/>
              <w:rPr>
                <w:rFonts w:ascii="Times New Roman" w:hAnsi="Times New Roman" w:eastAsia="方正黑体_GBK" w:cs="Times New Roman"/>
                <w:bCs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方正黑体_GBK" w:cs="Times New Roman"/>
                <w:bCs/>
                <w:color w:val="auto"/>
                <w:kern w:val="0"/>
                <w:sz w:val="21"/>
                <w:szCs w:val="21"/>
                <w:lang w:bidi="ar"/>
              </w:rPr>
              <w:t>陆域范围</w:t>
            </w:r>
          </w:p>
        </w:tc>
        <w:tc>
          <w:tcPr>
            <w:tcW w:w="900" w:type="dxa"/>
            <w:noWrap w:val="0"/>
            <w:vAlign w:val="center"/>
          </w:tcPr>
          <w:p w14:paraId="06C3AC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80" w:lineRule="exact"/>
              <w:ind w:left="0" w:leftChars="0" w:right="0" w:rightChars="0"/>
              <w:jc w:val="center"/>
              <w:outlineLvl w:val="9"/>
              <w:rPr>
                <w:rFonts w:ascii="Times New Roman" w:hAnsi="Times New Roman" w:eastAsia="方正黑体_GBK" w:cs="Times New Roman"/>
                <w:bCs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方正黑体_GBK" w:cs="Times New Roman"/>
                <w:bCs/>
                <w:color w:val="auto"/>
                <w:kern w:val="0"/>
                <w:sz w:val="21"/>
                <w:szCs w:val="21"/>
                <w:lang w:bidi="ar"/>
              </w:rPr>
              <w:t>水域范围</w:t>
            </w:r>
          </w:p>
        </w:tc>
        <w:tc>
          <w:tcPr>
            <w:tcW w:w="872" w:type="dxa"/>
            <w:noWrap w:val="0"/>
            <w:vAlign w:val="center"/>
          </w:tcPr>
          <w:p w14:paraId="2BB495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80" w:lineRule="exact"/>
              <w:ind w:left="0" w:leftChars="0" w:right="0" w:rightChars="0"/>
              <w:jc w:val="center"/>
              <w:outlineLvl w:val="9"/>
              <w:rPr>
                <w:rFonts w:ascii="Times New Roman" w:hAnsi="Times New Roman" w:eastAsia="方正黑体_GBK" w:cs="Times New Roman"/>
                <w:bCs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方正黑体_GBK" w:cs="Times New Roman"/>
                <w:bCs/>
                <w:color w:val="auto"/>
                <w:kern w:val="0"/>
                <w:sz w:val="21"/>
                <w:szCs w:val="21"/>
                <w:lang w:bidi="ar"/>
              </w:rPr>
              <w:t>陆域范围</w:t>
            </w:r>
          </w:p>
        </w:tc>
      </w:tr>
      <w:tr w14:paraId="538324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9" w:hRule="atLeast"/>
          <w:jc w:val="center"/>
        </w:trPr>
        <w:tc>
          <w:tcPr>
            <w:tcW w:w="549" w:type="dxa"/>
            <w:vMerge w:val="restart"/>
            <w:shd w:val="clear" w:color="auto" w:fill="auto"/>
            <w:noWrap w:val="0"/>
            <w:vAlign w:val="center"/>
          </w:tcPr>
          <w:p w14:paraId="774340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80" w:lineRule="exact"/>
              <w:ind w:left="0" w:leftChars="0" w:right="0" w:rightChars="0"/>
              <w:jc w:val="center"/>
              <w:outlineLvl w:val="9"/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1020" w:type="dxa"/>
            <w:vMerge w:val="restart"/>
            <w:shd w:val="clear" w:color="000000" w:fill="FFFFFF"/>
            <w:noWrap w:val="0"/>
            <w:vAlign w:val="center"/>
          </w:tcPr>
          <w:p w14:paraId="40C62C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80" w:lineRule="exact"/>
              <w:ind w:left="0" w:leftChars="0" w:right="0" w:rightChars="0"/>
              <w:jc w:val="center"/>
              <w:outlineLvl w:val="9"/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  <w:t>洪湖镇、万顺镇</w:t>
            </w:r>
          </w:p>
        </w:tc>
        <w:tc>
          <w:tcPr>
            <w:tcW w:w="870" w:type="dxa"/>
            <w:shd w:val="clear" w:color="000000" w:fill="FFFFFF"/>
            <w:noWrap w:val="0"/>
            <w:vAlign w:val="center"/>
          </w:tcPr>
          <w:p w14:paraId="0E31CA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80" w:lineRule="exact"/>
              <w:ind w:left="0" w:leftChars="0" w:right="0" w:rightChars="0"/>
              <w:jc w:val="center"/>
              <w:outlineLvl w:val="9"/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1"/>
              </w:rPr>
              <w:t>调整前</w:t>
            </w:r>
          </w:p>
        </w:tc>
        <w:tc>
          <w:tcPr>
            <w:tcW w:w="1125" w:type="dxa"/>
            <w:shd w:val="clear" w:color="000000" w:fill="FFFFFF"/>
            <w:noWrap w:val="0"/>
            <w:vAlign w:val="center"/>
          </w:tcPr>
          <w:p w14:paraId="23D34C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0" w:leftChars="0" w:right="0" w:rightChars="0"/>
              <w:jc w:val="center"/>
              <w:outlineLvl w:val="9"/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1"/>
                <w:szCs w:val="21"/>
                <w:lang w:bidi="ar"/>
              </w:rPr>
              <w:t>洪湖水厂、万顺水厂</w:t>
            </w:r>
          </w:p>
        </w:tc>
        <w:tc>
          <w:tcPr>
            <w:tcW w:w="1110" w:type="dxa"/>
            <w:shd w:val="clear" w:color="000000" w:fill="FFFFFF"/>
            <w:noWrap w:val="0"/>
            <w:vAlign w:val="center"/>
          </w:tcPr>
          <w:p w14:paraId="376838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0" w:leftChars="0" w:right="0" w:rightChars="0"/>
              <w:jc w:val="center"/>
              <w:outlineLvl w:val="9"/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1"/>
                <w:szCs w:val="21"/>
                <w:lang w:bidi="ar"/>
              </w:rPr>
              <w:t>大洪湖水库</w:t>
            </w:r>
          </w:p>
        </w:tc>
        <w:tc>
          <w:tcPr>
            <w:tcW w:w="1170" w:type="dxa"/>
            <w:shd w:val="clear" w:color="000000" w:fill="FFFFFF"/>
            <w:noWrap w:val="0"/>
            <w:vAlign w:val="center"/>
          </w:tcPr>
          <w:p w14:paraId="50EF01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0" w:leftChars="0" w:right="0" w:rightChars="0"/>
              <w:jc w:val="center"/>
              <w:outlineLvl w:val="9"/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1"/>
                <w:szCs w:val="21"/>
                <w:lang w:bidi="ar"/>
              </w:rPr>
              <w:t>水库型</w:t>
            </w:r>
          </w:p>
        </w:tc>
        <w:tc>
          <w:tcPr>
            <w:tcW w:w="2160" w:type="dxa"/>
            <w:noWrap w:val="0"/>
            <w:vAlign w:val="center"/>
          </w:tcPr>
          <w:p w14:paraId="077F08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80" w:lineRule="exact"/>
              <w:ind w:left="0" w:leftChars="0" w:right="0" w:rightChars="0"/>
              <w:outlineLvl w:val="9"/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1"/>
              </w:rPr>
              <w:t>分别以洪湖镇王家沟湾取水口、万顺镇深水凼取水口为圆心，1000米为半径的2个扇形水域面积。</w:t>
            </w:r>
          </w:p>
        </w:tc>
        <w:tc>
          <w:tcPr>
            <w:tcW w:w="1470" w:type="dxa"/>
            <w:noWrap w:val="0"/>
            <w:vAlign w:val="center"/>
          </w:tcPr>
          <w:p w14:paraId="7C549E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80" w:lineRule="exact"/>
              <w:ind w:left="0" w:leftChars="0" w:right="0" w:rightChars="0"/>
              <w:outlineLvl w:val="9"/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1"/>
              </w:rPr>
              <w:t>洪水期正常水位取水口侧库岸水平纵深30米。</w:t>
            </w:r>
          </w:p>
        </w:tc>
        <w:tc>
          <w:tcPr>
            <w:tcW w:w="1425" w:type="dxa"/>
            <w:noWrap w:val="0"/>
            <w:vAlign w:val="center"/>
          </w:tcPr>
          <w:p w14:paraId="68C5AE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80" w:lineRule="exact"/>
              <w:ind w:left="0" w:leftChars="0" w:right="0" w:rightChars="0"/>
              <w:outlineLvl w:val="9"/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1"/>
              </w:rPr>
              <w:t>一级保护区以外的整个水库的水域。</w:t>
            </w:r>
          </w:p>
        </w:tc>
        <w:tc>
          <w:tcPr>
            <w:tcW w:w="1617" w:type="dxa"/>
            <w:noWrap w:val="0"/>
            <w:vAlign w:val="center"/>
          </w:tcPr>
          <w:p w14:paraId="1A7FCE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80" w:lineRule="exact"/>
              <w:ind w:left="0" w:leftChars="0" w:right="0" w:rightChars="0"/>
              <w:outlineLvl w:val="9"/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1"/>
              </w:rPr>
              <w:t>洪水期正常水位库岸四周水平纵深30米。</w:t>
            </w:r>
          </w:p>
        </w:tc>
        <w:tc>
          <w:tcPr>
            <w:tcW w:w="900" w:type="dxa"/>
            <w:noWrap w:val="0"/>
            <w:vAlign w:val="center"/>
          </w:tcPr>
          <w:p w14:paraId="3D279C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80" w:lineRule="exact"/>
              <w:ind w:left="0" w:leftChars="0" w:right="0" w:rightChars="0"/>
              <w:jc w:val="center"/>
              <w:outlineLvl w:val="9"/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1"/>
              </w:rPr>
              <w:t>/</w:t>
            </w:r>
          </w:p>
        </w:tc>
        <w:tc>
          <w:tcPr>
            <w:tcW w:w="872" w:type="dxa"/>
            <w:noWrap w:val="0"/>
            <w:vAlign w:val="center"/>
          </w:tcPr>
          <w:p w14:paraId="574C4E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80" w:lineRule="exact"/>
              <w:ind w:left="0" w:leftChars="0" w:right="0" w:rightChars="0"/>
              <w:jc w:val="center"/>
              <w:outlineLvl w:val="9"/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1"/>
              </w:rPr>
              <w:t>/</w:t>
            </w:r>
          </w:p>
        </w:tc>
      </w:tr>
      <w:tr w14:paraId="282DF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7" w:hRule="atLeast"/>
          <w:jc w:val="center"/>
        </w:trPr>
        <w:tc>
          <w:tcPr>
            <w:tcW w:w="549" w:type="dxa"/>
            <w:vMerge w:val="continue"/>
            <w:shd w:val="clear" w:color="auto" w:fill="auto"/>
            <w:noWrap w:val="0"/>
            <w:vAlign w:val="center"/>
          </w:tcPr>
          <w:p w14:paraId="64CB07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80" w:lineRule="exact"/>
              <w:ind w:left="0" w:leftChars="0" w:right="0" w:rightChars="0"/>
              <w:jc w:val="center"/>
              <w:outlineLvl w:val="9"/>
              <w:rPr>
                <w:rFonts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020" w:type="dxa"/>
            <w:vMerge w:val="continue"/>
            <w:shd w:val="clear" w:color="000000" w:fill="FFFFFF"/>
            <w:noWrap w:val="0"/>
            <w:vAlign w:val="center"/>
          </w:tcPr>
          <w:p w14:paraId="2198DA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80" w:lineRule="exact"/>
              <w:ind w:left="0" w:leftChars="0" w:right="0" w:rightChars="0"/>
              <w:jc w:val="center"/>
              <w:outlineLvl w:val="9"/>
              <w:rPr>
                <w:rFonts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870" w:type="dxa"/>
            <w:shd w:val="clear" w:color="000000" w:fill="FFFFFF"/>
            <w:noWrap w:val="0"/>
            <w:vAlign w:val="center"/>
          </w:tcPr>
          <w:p w14:paraId="370841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80" w:lineRule="exact"/>
              <w:ind w:left="0" w:leftChars="0" w:right="0" w:rightChars="0"/>
              <w:jc w:val="center"/>
              <w:outlineLvl w:val="9"/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1"/>
              </w:rPr>
              <w:t>调整后</w:t>
            </w:r>
          </w:p>
        </w:tc>
        <w:tc>
          <w:tcPr>
            <w:tcW w:w="1125" w:type="dxa"/>
            <w:shd w:val="clear" w:color="000000" w:fill="FFFFFF"/>
            <w:noWrap w:val="0"/>
            <w:vAlign w:val="center"/>
          </w:tcPr>
          <w:p w14:paraId="57362F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0" w:leftChars="0" w:right="0" w:rightChars="0"/>
              <w:jc w:val="center"/>
              <w:outlineLvl w:val="9"/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1"/>
                <w:szCs w:val="21"/>
                <w:lang w:bidi="ar"/>
              </w:rPr>
              <w:t>洪湖水厂</w:t>
            </w:r>
          </w:p>
        </w:tc>
        <w:tc>
          <w:tcPr>
            <w:tcW w:w="1110" w:type="dxa"/>
            <w:shd w:val="clear" w:color="000000" w:fill="FFFFFF"/>
            <w:noWrap w:val="0"/>
            <w:vAlign w:val="center"/>
          </w:tcPr>
          <w:p w14:paraId="07DB89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0" w:leftChars="0" w:right="0" w:rightChars="0"/>
              <w:jc w:val="center"/>
              <w:outlineLvl w:val="9"/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1"/>
                <w:szCs w:val="21"/>
                <w:lang w:bidi="ar"/>
              </w:rPr>
              <w:t>大洪湖水库</w:t>
            </w:r>
          </w:p>
        </w:tc>
        <w:tc>
          <w:tcPr>
            <w:tcW w:w="1170" w:type="dxa"/>
            <w:shd w:val="clear" w:color="000000" w:fill="FFFFFF"/>
            <w:noWrap w:val="0"/>
            <w:vAlign w:val="center"/>
          </w:tcPr>
          <w:p w14:paraId="6C36A7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0" w:leftChars="0" w:right="0" w:rightChars="0"/>
              <w:jc w:val="center"/>
              <w:outlineLvl w:val="9"/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1"/>
                <w:szCs w:val="21"/>
                <w:lang w:bidi="ar"/>
              </w:rPr>
              <w:t>湖库型</w:t>
            </w:r>
          </w:p>
        </w:tc>
        <w:tc>
          <w:tcPr>
            <w:tcW w:w="2160" w:type="dxa"/>
            <w:noWrap w:val="0"/>
            <w:vAlign w:val="center"/>
          </w:tcPr>
          <w:p w14:paraId="4EC1B0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80" w:lineRule="exact"/>
              <w:ind w:left="0" w:leftChars="0" w:right="0" w:rightChars="0"/>
              <w:outlineLvl w:val="9"/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1"/>
              </w:rPr>
              <w:t>取水口半径500m范围内的水域。</w:t>
            </w:r>
          </w:p>
        </w:tc>
        <w:tc>
          <w:tcPr>
            <w:tcW w:w="1470" w:type="dxa"/>
            <w:noWrap w:val="0"/>
            <w:vAlign w:val="center"/>
          </w:tcPr>
          <w:p w14:paraId="3D9812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80" w:lineRule="exact"/>
              <w:ind w:left="0" w:leftChars="0" w:right="0" w:rightChars="0"/>
              <w:outlineLvl w:val="9"/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1"/>
              </w:rPr>
              <w:t>一级保护区水域外200m范围内的陆域，但不超过流域分水岭范围。</w:t>
            </w:r>
          </w:p>
        </w:tc>
        <w:tc>
          <w:tcPr>
            <w:tcW w:w="1425" w:type="dxa"/>
            <w:noWrap w:val="0"/>
            <w:vAlign w:val="center"/>
          </w:tcPr>
          <w:p w14:paraId="6620CD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80" w:lineRule="exact"/>
              <w:ind w:left="0" w:leftChars="0" w:right="0" w:rightChars="0"/>
              <w:outlineLvl w:val="9"/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1"/>
              </w:rPr>
              <w:t>一级保护区外径向距离2000m区域，但不超过水域范围。</w:t>
            </w:r>
          </w:p>
        </w:tc>
        <w:tc>
          <w:tcPr>
            <w:tcW w:w="1617" w:type="dxa"/>
            <w:noWrap w:val="0"/>
            <w:vAlign w:val="center"/>
          </w:tcPr>
          <w:p w14:paraId="27213E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80" w:lineRule="exact"/>
              <w:ind w:left="0" w:leftChars="0" w:right="0" w:rightChars="0"/>
              <w:outlineLvl w:val="9"/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1"/>
              </w:rPr>
              <w:t>一级保护区陆域外第一重山脊线内的陆域，但不超过道路排水沟及流域分水岭范围。</w:t>
            </w:r>
          </w:p>
        </w:tc>
        <w:tc>
          <w:tcPr>
            <w:tcW w:w="900" w:type="dxa"/>
            <w:noWrap w:val="0"/>
            <w:vAlign w:val="center"/>
          </w:tcPr>
          <w:p w14:paraId="2A4AB1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80" w:lineRule="exact"/>
              <w:ind w:left="0" w:leftChars="0" w:right="0" w:rightChars="0"/>
              <w:jc w:val="center"/>
              <w:outlineLvl w:val="9"/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1"/>
                <w:szCs w:val="21"/>
              </w:rPr>
              <w:t>/</w:t>
            </w:r>
          </w:p>
        </w:tc>
        <w:tc>
          <w:tcPr>
            <w:tcW w:w="872" w:type="dxa"/>
            <w:noWrap w:val="0"/>
            <w:vAlign w:val="center"/>
          </w:tcPr>
          <w:p w14:paraId="4B4459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80" w:lineRule="exact"/>
              <w:ind w:left="0" w:leftChars="0" w:right="0" w:rightChars="0"/>
              <w:jc w:val="center"/>
              <w:outlineLvl w:val="9"/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1"/>
                <w:szCs w:val="21"/>
              </w:rPr>
              <w:t>/</w:t>
            </w:r>
          </w:p>
        </w:tc>
      </w:tr>
    </w:tbl>
    <w:p w14:paraId="1F4679D6"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textAlignment w:val="auto"/>
        <w:rPr>
          <w:rFonts w:hint="eastAsia"/>
          <w:lang w:val="en-US" w:eastAsia="zh-CN"/>
        </w:rPr>
      </w:pPr>
      <w:bookmarkStart w:id="0" w:name="_GoBack"/>
      <w:bookmarkEnd w:id="0"/>
    </w:p>
    <w:sectPr>
      <w:headerReference r:id="rId5" w:type="default"/>
      <w:footerReference r:id="rId6" w:type="default"/>
      <w:pgSz w:w="16838" w:h="11906" w:orient="landscape"/>
      <w:pgMar w:top="1587" w:right="1962" w:bottom="1474" w:left="184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9A26A4">
    <w:pPr>
      <w:pStyle w:val="7"/>
      <w:ind w:left="4788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64768BD">
                          <w:pPr>
                            <w:pStyle w:val="6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64768BD">
                    <w:pPr>
                      <w:pStyle w:val="6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 w14:paraId="29453B83">
    <w:pPr>
      <w:pStyle w:val="7"/>
      <w:wordWrap w:val="0"/>
      <w:ind w:left="3786" w:leftChars="1803" w:firstLine="7398" w:firstLineChars="2312"/>
      <w:jc w:val="right"/>
      <w:rPr>
        <w:rFonts w:hint="default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15pt;width:442.25pt;z-index:251660288;mso-width-relative:page;mso-height-relative:page;" filled="f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zp6XR1AAA&#10;AAYBAAAPAAAAAAAAAAEAIAAAACIAAABkcnMvZG93bnJldi54bWxQSwECFAAUAAAACACHTuJA8DYt&#10;KekBAAC1AwAADgAAAAAAAAABACAAAAAjAQAAZHJzL2Uyb0RvYy54bWxQSwUGAAAAAAYABgBZAQAA&#10;fg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/>
        <w:color w:val="FAFAFA"/>
        <w:sz w:val="32"/>
        <w:lang w:val="en-US" w:eastAsia="zh-CN"/>
      </w:rPr>
      <w:t xml:space="preserve"> 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  <w:t>重庆市长寿区人民政府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eastAsia="zh-CN"/>
      </w:rPr>
      <w:t>办公室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发布  </w:t>
    </w:r>
  </w:p>
  <w:p w14:paraId="5A23D94F">
    <w:pPr>
      <w:pStyle w:val="7"/>
      <w:wordWrap w:val="0"/>
      <w:ind w:left="4788" w:leftChars="2280" w:firstLine="5622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44D76B">
    <w:pPr>
      <w:pStyle w:val="7"/>
      <w:ind w:left="4788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C8A31B0">
                          <w:pPr>
                            <w:pStyle w:val="6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C8A31B0">
                    <w:pPr>
                      <w:pStyle w:val="6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 w14:paraId="088F7425">
    <w:pPr>
      <w:pStyle w:val="7"/>
      <w:ind w:left="4788" w:leftChars="2280" w:firstLine="6400" w:firstLineChars="2000"/>
      <w:rPr>
        <w:sz w:val="32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column">
                <wp:posOffset>-19050</wp:posOffset>
              </wp:positionH>
              <wp:positionV relativeFrom="paragraph">
                <wp:posOffset>140335</wp:posOffset>
              </wp:positionV>
              <wp:extent cx="8288020" cy="0"/>
              <wp:effectExtent l="0" t="10795" r="17780" b="17780"/>
              <wp:wrapNone/>
              <wp:docPr id="11" name="直接连接符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8288020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1.5pt;margin-top:11.05pt;height:0pt;width:652.6pt;z-index:251664384;mso-width-relative:page;mso-height-relative:page;" filled="f" stroked="t" coordsize="21600,21600" o:gfxdata="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3Jgx31AAAAAkB&#10;AAAPAAAAAAAAAAEAIAAAACIAAABkcnMvZG93bnJldi54bWxQSwECFAAUAAAACACHTuJA9RTDf+YB&#10;AAC0AwAADgAAAAAAAAABACAAAAAjAQAAZHJzL2Uyb0RvYy54bWxQSwUGAAAAAAYABgBZAQAAewUA&#10;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 w14:paraId="7BF269BC">
    <w:pPr>
      <w:pStyle w:val="7"/>
      <w:wordWrap w:val="0"/>
      <w:jc w:val="right"/>
      <w:rPr>
        <w:rFonts w:hint="default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重庆市长寿区人民政府办公室发布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9B4F9C">
    <w:pPr>
      <w:pStyle w:val="7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-635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05pt;margin-top:54.35pt;height:0pt;width:442.55pt;z-index:251659264;mso-width-relative:page;mso-height-relative:page;" filled="f" stroked="t" coordsize="21600,21600" o:gfxdata="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hUygW1AAAAAkBAAAPAAAAAAAAAAEAIAAAACIAAABkcnMvZG93bnJldi54bWxQSwECFAAUAAAA&#10;CACHTuJABe67HvIBAAC9AwAADgAAAAAAAAABACAAAAAjAQAAZHJzL2Uyb0RvYy54bWxQSwUGAAAA&#10;AAYABgBZAQAAhw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 w14:paraId="1D9F2E19">
    <w:pPr>
      <w:pStyle w:val="7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重庆市长寿区人民政府行政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F29347">
    <w:pPr>
      <w:pStyle w:val="7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-2540</wp:posOffset>
              </wp:positionH>
              <wp:positionV relativeFrom="paragraph">
                <wp:posOffset>462280</wp:posOffset>
              </wp:positionV>
              <wp:extent cx="8269605" cy="0"/>
              <wp:effectExtent l="0" t="10795" r="17145" b="17780"/>
              <wp:wrapNone/>
              <wp:docPr id="2" name="直接连接符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826960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2pt;margin-top:36.4pt;height:0pt;width:651.15pt;z-index:251663360;mso-width-relative:page;mso-height-relative:page;" filled="f" stroked="t" coordsize="21600,21600" o:gfxdata="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GL5YoHVAAAACAEAAA8AAAAAAAAAAQAgAAAAIgAAAGRycy9kb3ducmV2LnhtbFBLAQIUABQA&#10;AAAIAIdO4kDjsBHs8wEAAL0DAAAOAAAAAAAAAAEAIAAAACQBAABkcnMvZTJvRG9jLnhtbFBLBQYA&#10;AAAABgAGAFkBAACJ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5240" b="15240"/>
          <wp:docPr id="9" name="图片 9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图片 9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eastAsia="zh-CN"/>
      </w:rPr>
      <w:t>重庆市长寿区人民政府行政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  <w:p w14:paraId="3A21F898">
    <w:pPr>
      <w:pStyle w:val="7"/>
      <w:rPr>
        <w:rFonts w:hint="eastAsia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yODExMDVjNjNlMjJjODEyOTk5ZmNlZDNlNzRkMjgifQ=="/>
  </w:docVars>
  <w:rsids>
    <w:rsidRoot w:val="00172A27"/>
    <w:rsid w:val="019E71BD"/>
    <w:rsid w:val="041C42DA"/>
    <w:rsid w:val="04B679C3"/>
    <w:rsid w:val="05F07036"/>
    <w:rsid w:val="062E6483"/>
    <w:rsid w:val="06445D03"/>
    <w:rsid w:val="06E00104"/>
    <w:rsid w:val="080F63D8"/>
    <w:rsid w:val="09341458"/>
    <w:rsid w:val="098254C2"/>
    <w:rsid w:val="0A766EDE"/>
    <w:rsid w:val="0AD64BE8"/>
    <w:rsid w:val="0B0912D7"/>
    <w:rsid w:val="0E025194"/>
    <w:rsid w:val="152D2DCA"/>
    <w:rsid w:val="187168EA"/>
    <w:rsid w:val="196673CA"/>
    <w:rsid w:val="1A6D1382"/>
    <w:rsid w:val="1B2F4AEE"/>
    <w:rsid w:val="1CF734C9"/>
    <w:rsid w:val="1DEC284C"/>
    <w:rsid w:val="1E6523AC"/>
    <w:rsid w:val="22440422"/>
    <w:rsid w:val="22BB4BBB"/>
    <w:rsid w:val="24D14D93"/>
    <w:rsid w:val="2AEB3417"/>
    <w:rsid w:val="31A15F24"/>
    <w:rsid w:val="324A1681"/>
    <w:rsid w:val="36FB1DF0"/>
    <w:rsid w:val="395347B5"/>
    <w:rsid w:val="39A232A0"/>
    <w:rsid w:val="39E745AA"/>
    <w:rsid w:val="3B5A6BBB"/>
    <w:rsid w:val="3B7F3B41"/>
    <w:rsid w:val="3EDA13A6"/>
    <w:rsid w:val="417B75E9"/>
    <w:rsid w:val="42F058B7"/>
    <w:rsid w:val="436109F6"/>
    <w:rsid w:val="441A38D4"/>
    <w:rsid w:val="4504239D"/>
    <w:rsid w:val="46271A29"/>
    <w:rsid w:val="4BC77339"/>
    <w:rsid w:val="4C9236C5"/>
    <w:rsid w:val="4E250A85"/>
    <w:rsid w:val="4FFD4925"/>
    <w:rsid w:val="505C172E"/>
    <w:rsid w:val="506405EA"/>
    <w:rsid w:val="50D21465"/>
    <w:rsid w:val="52F46F0B"/>
    <w:rsid w:val="532B6A10"/>
    <w:rsid w:val="53D8014D"/>
    <w:rsid w:val="55E064E0"/>
    <w:rsid w:val="572C6D10"/>
    <w:rsid w:val="5B8D42E2"/>
    <w:rsid w:val="5DC34279"/>
    <w:rsid w:val="5FCD688E"/>
    <w:rsid w:val="5FF9BDAA"/>
    <w:rsid w:val="608816D1"/>
    <w:rsid w:val="60EF4E7F"/>
    <w:rsid w:val="62857768"/>
    <w:rsid w:val="648B0A32"/>
    <w:rsid w:val="653575C7"/>
    <w:rsid w:val="65A31A8A"/>
    <w:rsid w:val="665233C1"/>
    <w:rsid w:val="69AC0D42"/>
    <w:rsid w:val="6AD9688B"/>
    <w:rsid w:val="6D0E3F22"/>
    <w:rsid w:val="73B13777"/>
    <w:rsid w:val="744E4660"/>
    <w:rsid w:val="753355A2"/>
    <w:rsid w:val="759F1C61"/>
    <w:rsid w:val="769F2DE8"/>
    <w:rsid w:val="76FDEB7C"/>
    <w:rsid w:val="79C65162"/>
    <w:rsid w:val="7C9011D9"/>
    <w:rsid w:val="7DC651C5"/>
    <w:rsid w:val="7F9DA0E8"/>
    <w:rsid w:val="7FCC2834"/>
    <w:rsid w:val="7FF6A4EF"/>
    <w:rsid w:val="92DD1CEF"/>
    <w:rsid w:val="F05B4F69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unhideWhenUsed/>
    <w:uiPriority w:val="99"/>
    <w:pPr>
      <w:spacing w:after="120"/>
    </w:pPr>
    <w:rPr>
      <w:kern w:val="0"/>
      <w:sz w:val="20"/>
      <w:szCs w:val="24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Body Text 2"/>
    <w:basedOn w:val="1"/>
    <w:qFormat/>
    <w:uiPriority w:val="0"/>
    <w:pPr>
      <w:spacing w:after="120" w:line="480" w:lineRule="auto"/>
    </w:pPr>
    <w:rPr>
      <w:rFonts w:ascii="Calibri" w:hAnsi="Calibri" w:eastAsia="方正仿宋_GBK" w:cs="Times New Roman"/>
      <w:kern w:val="0"/>
      <w:sz w:val="32"/>
      <w:szCs w:val="32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Strong"/>
    <w:basedOn w:val="11"/>
    <w:qFormat/>
    <w:uiPriority w:val="0"/>
    <w:rPr>
      <w:b/>
      <w:bCs/>
    </w:rPr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14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  <w:style w:type="character" w:customStyle="1" w:styleId="15">
    <w:name w:val="ca-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356</Words>
  <Characters>370</Characters>
  <Lines>1</Lines>
  <Paragraphs>1</Paragraphs>
  <TotalTime>0</TotalTime>
  <ScaleCrop>false</ScaleCrop>
  <LinksUpToDate>false</LinksUpToDate>
  <CharactersWithSpaces>410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2021-09-10T18:41:00Z</dcterms:created>
  <dc:creator>t</dc:creator>
  <cp:lastModifiedBy>CY</cp:lastModifiedBy>
  <cp:lastPrinted>2022-05-11T16:46:00Z</cp:lastPrinted>
  <dcterms:modified xsi:type="dcterms:W3CDTF">2025-04-02T06:12:54Z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48C61CB29D3F4D9384F5922CF0F7FFB4</vt:lpwstr>
  </property>
  <property fmtid="{D5CDD505-2E9C-101B-9397-08002B2CF9AE}" pid="4" name="KSOTemplateDocerSaveRecord">
    <vt:lpwstr>eyJoZGlkIjoiNDZlNTUwNzY2MzY2YjEyYmZkMzM5NDdhMWFhNmM1MjAiLCJ1c2VySWQiOiIxNTU0ODU1NDcxIn0=</vt:lpwstr>
  </property>
</Properties>
</file>