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center"/>
        <w:textAlignment w:val="auto"/>
        <w:rPr>
          <w:rFonts w:hint="eastAsia" w:ascii="方正小标宋_GBK" w:eastAsia="方正小标宋_GBK"/>
          <w:sz w:val="44"/>
          <w:szCs w:val="44"/>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center"/>
        <w:textAlignment w:val="auto"/>
        <w:rPr>
          <w:rFonts w:hint="eastAsia" w:ascii="方正小标宋_GBK" w:eastAsia="方正小标宋_GBK"/>
          <w:sz w:val="44"/>
          <w:szCs w:val="44"/>
        </w:rPr>
      </w:pP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pPr>
      <w:r>
        <w:rPr>
          <w:rFonts w:hint="eastAsia" w:ascii="方正小标宋_GBK" w:eastAsia="方正小标宋_GBK"/>
          <w:sz w:val="44"/>
          <w:szCs w:val="44"/>
        </w:rPr>
        <w:t>重庆市长寿区人民政府办公室</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ascii="方正小标宋_GBK" w:eastAsia="方正小标宋_GBK"/>
          <w:sz w:val="44"/>
          <w:szCs w:val="44"/>
        </w:rPr>
      </w:pPr>
      <w:r>
        <w:rPr>
          <w:rFonts w:hint="eastAsia" w:ascii="方正小标宋_GBK" w:eastAsia="方正小标宋_GBK"/>
          <w:sz w:val="44"/>
          <w:szCs w:val="44"/>
        </w:rPr>
        <w:t>关于加强城市特殊困难群众救助帮扶工作</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eastAsia" w:ascii="Times New Roman" w:eastAsia="方正小标宋_GBK"/>
          <w:sz w:val="44"/>
          <w:szCs w:val="44"/>
        </w:rPr>
      </w:pPr>
      <w:r>
        <w:rPr>
          <w:rFonts w:hint="eastAsia" w:ascii="方正小标宋_GBK" w:eastAsia="方正小标宋_GBK"/>
          <w:sz w:val="44"/>
          <w:szCs w:val="44"/>
        </w:rPr>
        <w:t>的通知</w:t>
      </w: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rPr>
          <w:rFonts w:hint="eastAsia" w:ascii="方正仿宋_GBK" w:eastAsia="方正仿宋_GBK"/>
          <w:sz w:val="32"/>
          <w:szCs w:val="32"/>
        </w:rPr>
      </w:pPr>
      <w:r>
        <w:rPr>
          <w:rFonts w:hint="eastAsia" w:ascii="方正仿宋_GBK" w:eastAsia="方正仿宋_GBK"/>
          <w:sz w:val="32"/>
          <w:szCs w:val="32"/>
        </w:rPr>
        <w:t>长寿府办发〔</w:t>
      </w:r>
      <w:r>
        <w:rPr>
          <w:rFonts w:ascii="Times New Roman" w:hAnsi="Times New Roman" w:eastAsia="方正仿宋_GBK" w:cs="Times New Roman"/>
          <w:sz w:val="32"/>
          <w:szCs w:val="32"/>
        </w:rPr>
        <w:t>2019</w:t>
      </w:r>
      <w:r>
        <w:rPr>
          <w:rFonts w:hint="eastAsia" w:ascii="方正仿宋_GBK" w:eastAsia="方正仿宋_GBK"/>
          <w:sz w:val="32"/>
          <w:szCs w:val="32"/>
        </w:rPr>
        <w:t>〕</w:t>
      </w:r>
      <w:r>
        <w:rPr>
          <w:rFonts w:ascii="Times New Roman" w:hAnsi="Times New Roman" w:eastAsia="方正仿宋_GBK" w:cs="Times New Roman"/>
          <w:sz w:val="32"/>
          <w:szCs w:val="32"/>
        </w:rPr>
        <w:t>96</w:t>
      </w:r>
      <w:r>
        <w:rPr>
          <w:rFonts w:hint="eastAsia" w:ascii="方正仿宋_GBK" w:eastAsia="方正仿宋_GBK"/>
          <w:sz w:val="32"/>
          <w:szCs w:val="32"/>
        </w:rPr>
        <w:t>号</w:t>
      </w:r>
    </w:p>
    <w:p>
      <w:pPr>
        <w:keepNext w:val="0"/>
        <w:keepLines w:val="0"/>
        <w:pageBreakBefore w:val="0"/>
        <w:widowControl w:val="0"/>
        <w:shd w:val="clear" w:color="auto" w:fill="FFFFFF"/>
        <w:kinsoku/>
        <w:wordWrap/>
        <w:overflowPunct/>
        <w:topLinePunct w:val="0"/>
        <w:autoSpaceDE/>
        <w:autoSpaceDN/>
        <w:bidi w:val="0"/>
        <w:adjustRightInd/>
        <w:spacing w:line="600" w:lineRule="exact"/>
        <w:textAlignment w:val="auto"/>
        <w:rPr>
          <w:rFonts w:hint="eastAsia" w:ascii="方正仿宋_GBK" w:eastAsia="方正仿宋_GBK"/>
          <w:sz w:val="32"/>
          <w:szCs w:val="32"/>
        </w:rPr>
      </w:pPr>
    </w:p>
    <w:p>
      <w:pPr>
        <w:keepNext w:val="0"/>
        <w:keepLines w:val="0"/>
        <w:pageBreakBefore w:val="0"/>
        <w:kinsoku/>
        <w:wordWrap/>
        <w:overflowPunct/>
        <w:topLinePunct w:val="0"/>
        <w:autoSpaceDE w:val="0"/>
        <w:autoSpaceDN/>
        <w:bidi w:val="0"/>
        <w:spacing w:line="600" w:lineRule="exact"/>
        <w:textAlignment w:val="auto"/>
        <w:rPr>
          <w:rFonts w:hint="eastAsia" w:ascii="方正仿宋_GBK" w:eastAsia="方正仿宋_GBK"/>
          <w:sz w:val="32"/>
          <w:szCs w:val="32"/>
        </w:rPr>
      </w:pPr>
      <w:r>
        <w:rPr>
          <w:rFonts w:hint="eastAsia" w:ascii="方正仿宋_GBK" w:eastAsia="方正仿宋_GBK"/>
          <w:sz w:val="32"/>
          <w:szCs w:val="32"/>
        </w:rPr>
        <w:t>各街道办事处、镇人民政府，区级各部门，有关单位：</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党的十八大以来，中央加大脱贫攻坚力度，农村贫困问题逐步缓解，但随着城市化进程加快推进，城市贫困问题日益凸显，部分城市群众仍存在基本生活难、看病就医难、子女上学难等困难，已成为全面建成小康社会的短板之一。为加强城市特殊困难群众救助帮扶工作，切实保障其基本生活和基本权益，根据《重庆市人民政府办公厅关于加强城市特殊困难群众救助帮扶工作的意见》（渝府办发〔</w:t>
      </w:r>
      <w:r>
        <w:rPr>
          <w:rFonts w:ascii="Times New Roman" w:hAnsi="Times New Roman" w:eastAsia="方正仿宋_GBK" w:cs="Times New Roman"/>
          <w:sz w:val="32"/>
          <w:szCs w:val="32"/>
        </w:rPr>
        <w:t>2018</w:t>
      </w:r>
      <w:r>
        <w:rPr>
          <w:rFonts w:hint="eastAsia" w:ascii="方正仿宋_GBK" w:eastAsia="方正仿宋_GBK"/>
          <w:sz w:val="32"/>
          <w:szCs w:val="32"/>
        </w:rPr>
        <w:t>〕</w:t>
      </w:r>
      <w:r>
        <w:rPr>
          <w:rFonts w:ascii="Times New Roman" w:hAnsi="Times New Roman" w:eastAsia="方正仿宋_GBK" w:cs="Times New Roman"/>
          <w:sz w:val="32"/>
          <w:szCs w:val="32"/>
        </w:rPr>
        <w:t>161</w:t>
      </w:r>
      <w:r>
        <w:rPr>
          <w:rFonts w:hint="eastAsia" w:ascii="方正仿宋_GBK" w:eastAsia="方正仿宋_GBK"/>
          <w:sz w:val="32"/>
          <w:szCs w:val="32"/>
        </w:rPr>
        <w:t>号）精神，经区政府同意，现通知如下：</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一、总体要求</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（一）指导思想</w:t>
      </w:r>
      <w:r>
        <w:rPr>
          <w:rFonts w:hint="eastAsia" w:ascii="方正仿宋_GBK" w:eastAsia="方正仿宋_GBK"/>
          <w:sz w:val="32"/>
          <w:szCs w:val="32"/>
        </w:rPr>
        <w:t>。深入贯彻党的十九大和十九届二中、三中全会精神，以习近平新时代中国特色社会主义思想为指导，坚持以人民为中心的发展思想，着眼不断满足人民日益增长的美好生活需要，紧扣全面建成小康社会“一个都不能少”的目标，坚持应救尽救、动态管理、精准帮扶，坚持尽力而为、量力而行、不吊高胃口，坚持与农村脱贫攻坚政策有机衔接，按照“兜底线、织密网、建机制”的要求，进一步完善社会救助帮扶体系，着力构建党委领导、政府主导、部门联动、社会参与的大救助格局，切实加大对城市特殊困难群众的救助帮扶力度，确保其救助水平与经济社会发展水平同步增长，让城市特殊困难群众有更多的获得感和幸福感。</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（二）救助帮扶对象</w:t>
      </w:r>
      <w:r>
        <w:rPr>
          <w:rFonts w:hint="eastAsia" w:ascii="方正仿宋_GBK" w:eastAsia="方正仿宋_GBK"/>
          <w:sz w:val="32"/>
          <w:szCs w:val="32"/>
        </w:rPr>
        <w:t>。城市特殊困难群众包括城市低保对象和城市特困人员。</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（三）救助帮扶目标</w:t>
      </w:r>
      <w:r>
        <w:rPr>
          <w:rFonts w:hint="eastAsia" w:ascii="方正仿宋_GBK" w:eastAsia="方正仿宋_GBK"/>
          <w:sz w:val="32"/>
          <w:szCs w:val="32"/>
        </w:rPr>
        <w:t>。稳定实现城市特殊困难群众“两不愁三保障”，即不愁吃、不愁穿，就医、就学、住房得到基本保障。</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二、加大政策救助力度</w:t>
      </w:r>
    </w:p>
    <w:p>
      <w:pPr>
        <w:keepNext w:val="0"/>
        <w:keepLines w:val="0"/>
        <w:pageBreakBefore w:val="0"/>
        <w:kinsoku/>
        <w:wordWrap/>
        <w:overflowPunct/>
        <w:topLinePunct w:val="0"/>
        <w:autoSpaceDE w:val="0"/>
        <w:autoSpaceDN/>
        <w:bidi w:val="0"/>
        <w:adjustRightInd w:val="0"/>
        <w:snapToGrid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（一）加强最低生活保障</w:t>
      </w:r>
      <w:r>
        <w:rPr>
          <w:rFonts w:hint="eastAsia" w:ascii="方正仿宋_GBK" w:eastAsia="方正仿宋_GBK"/>
          <w:sz w:val="32"/>
          <w:szCs w:val="32"/>
        </w:rPr>
        <w:t>。</w:t>
      </w:r>
      <w:r>
        <w:rPr>
          <w:rFonts w:hint="eastAsia" w:ascii="方正仿宋_GBK" w:eastAsia="方正仿宋_GBK"/>
          <w:kern w:val="32"/>
          <w:sz w:val="32"/>
          <w:szCs w:val="32"/>
        </w:rPr>
        <w:t>及时将家庭成员因病或就学，申请前</w:t>
      </w:r>
      <w:r>
        <w:rPr>
          <w:rFonts w:ascii="Times New Roman" w:hAnsi="Times New Roman" w:eastAsia="方正仿宋_GBK" w:cs="Times New Roman"/>
          <w:kern w:val="32"/>
          <w:sz w:val="32"/>
          <w:szCs w:val="32"/>
        </w:rPr>
        <w:t>6</w:t>
      </w:r>
      <w:r>
        <w:rPr>
          <w:rFonts w:hint="eastAsia" w:ascii="方正仿宋_GBK" w:eastAsia="方正仿宋_GBK"/>
          <w:kern w:val="32"/>
          <w:sz w:val="32"/>
          <w:szCs w:val="32"/>
        </w:rPr>
        <w:t>个月家庭总收入扣减同期治疗自负费用或学费后，月人均收入低于低保标准，且家庭财产、消费支出符合相关规定的支出型困难群众，纳入城乡低保。坚持“按标施保”，切实落实最低生活保障标准和分类重点救助标准。</w:t>
      </w:r>
      <w:r>
        <w:rPr>
          <w:rFonts w:hint="eastAsia" w:ascii="方正楷体_GBK" w:hAnsi="方正楷体_GBK" w:eastAsia="方正楷体_GBK" w:cs="方正楷体_GBK"/>
          <w:sz w:val="32"/>
          <w:szCs w:val="32"/>
        </w:rPr>
        <w:t>（责任单位：区民政局、区财政局、区卫健委、区残联。排在第一位的为牵头单位，下同）</w:t>
      </w:r>
    </w:p>
    <w:p>
      <w:pPr>
        <w:keepNext w:val="0"/>
        <w:keepLines w:val="0"/>
        <w:pageBreakBefore w:val="0"/>
        <w:widowControl/>
        <w:kinsoku/>
        <w:wordWrap/>
        <w:overflowPunct/>
        <w:topLinePunct w:val="0"/>
        <w:autoSpaceDE w:val="0"/>
        <w:autoSpaceDN/>
        <w:bidi w:val="0"/>
        <w:spacing w:line="600" w:lineRule="exact"/>
        <w:ind w:firstLine="640" w:firstLineChars="200"/>
        <w:jc w:val="left"/>
        <w:textAlignment w:val="auto"/>
        <w:rPr>
          <w:rFonts w:hint="eastAsia" w:ascii="方正仿宋_GBK" w:eastAsia="方正仿宋_GBK"/>
          <w:sz w:val="32"/>
          <w:szCs w:val="32"/>
        </w:rPr>
      </w:pPr>
      <w:r>
        <w:rPr>
          <w:rFonts w:hint="eastAsia" w:ascii="方正楷体_GBK" w:eastAsia="方正楷体_GBK"/>
          <w:sz w:val="32"/>
          <w:szCs w:val="32"/>
        </w:rPr>
        <w:t>（二）提升特困人员救助供养水平</w:t>
      </w:r>
      <w:r>
        <w:rPr>
          <w:rFonts w:hint="eastAsia" w:ascii="方正仿宋_GBK" w:eastAsia="方正仿宋_GBK"/>
          <w:sz w:val="32"/>
          <w:szCs w:val="32"/>
        </w:rPr>
        <w:t>。要严格按照规定落实照料护理分类补贴标准。按城市低保标准增幅，同步提高城市特困人员救助供养标准，切实保障城市特困人员基本生活。加大失能特困人员集中供养保障力度，逐步提升失能特困人员集中供养比例。</w:t>
      </w:r>
      <w:r>
        <w:rPr>
          <w:rFonts w:hint="eastAsia" w:ascii="方正楷体_GBK" w:hAnsi="方正楷体_GBK" w:eastAsia="方正楷体_GBK" w:cs="方正楷体_GBK"/>
          <w:sz w:val="32"/>
          <w:szCs w:val="32"/>
        </w:rPr>
        <w:t>（责任单位：区民政局、区财政局）</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（三）加强自然灾害救助</w:t>
      </w:r>
      <w:r>
        <w:rPr>
          <w:rFonts w:hint="eastAsia" w:ascii="方正仿宋_GBK" w:eastAsia="方正仿宋_GBK"/>
          <w:sz w:val="32"/>
          <w:szCs w:val="32"/>
        </w:rPr>
        <w:t>。加快自然灾害监测网站建设，提升自然灾害监测预报预警能力。健全预警信息发布制度，提高街道、社区预警响应能力和居民小区预警信息传播和接收能力。深入开展综合减灾示范社区创建，进一步增强人民群众防灾减灾意识和自救互救技能。按照分类救助、重点救助原则，扎实做好受灾城市特殊困难群众的应急救助、遇难人员家属抚慰、过渡期救助工作。</w:t>
      </w:r>
      <w:r>
        <w:rPr>
          <w:rFonts w:hint="eastAsia" w:ascii="方正楷体_GBK" w:hAnsi="方正楷体_GBK" w:eastAsia="方正楷体_GBK" w:cs="方正楷体_GBK"/>
          <w:sz w:val="32"/>
          <w:szCs w:val="32"/>
        </w:rPr>
        <w:t>（责任单位：区应急局、区财政局、区城市管理局、区水利局、区规划和自然资源局、区气象局</w:t>
      </w:r>
      <w:r>
        <w:rPr>
          <w:rFonts w:hint="eastAsia" w:ascii="方正楷体_GBK" w:hAnsi="方正楷体_GBK" w:eastAsia="方正楷体_GBK" w:cs="方正楷体_GBK"/>
          <w:color w:val="000000"/>
          <w:sz w:val="32"/>
          <w:szCs w:val="32"/>
        </w:rPr>
        <w:t>）</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（四）强化基本医疗保障</w:t>
      </w:r>
      <w:r>
        <w:rPr>
          <w:rFonts w:hint="eastAsia" w:ascii="方正仿宋_GBK" w:eastAsia="方正仿宋_GBK"/>
          <w:sz w:val="32"/>
          <w:szCs w:val="32"/>
        </w:rPr>
        <w:t>。将城市特殊困难群众家庭纳入家庭医生签约服务范围，为其建立电子健康档案，提供健康管理服务。扩大医疗救助重特大疾病病种范围，将地中海贫血、慢性髓系白血病、尘肺病、儿童白血病纳入特殊病种救助范围。严格控制医药费用不合理增长，力争将城市特殊困难群众在定点医疗机构住院的医保目录外费用占比控制在</w:t>
      </w:r>
      <w:r>
        <w:rPr>
          <w:rFonts w:ascii="Times New Roman" w:hAnsi="Times New Roman" w:eastAsia="方正仿宋_GBK" w:cs="Times New Roman"/>
          <w:sz w:val="32"/>
          <w:szCs w:val="32"/>
        </w:rPr>
        <w:t>15</w:t>
      </w:r>
      <w:r>
        <w:rPr>
          <w:rFonts w:hint="eastAsia" w:ascii="方正仿宋_GBK" w:eastAsia="方正仿宋_GBK"/>
          <w:sz w:val="32"/>
          <w:szCs w:val="32"/>
        </w:rPr>
        <w:t>%以内。全面实施区域内定点医疗机构住院先诊疗后付费的结算机制。</w:t>
      </w:r>
      <w:r>
        <w:rPr>
          <w:rFonts w:ascii="Times New Roman" w:hAnsi="Times New Roman" w:eastAsia="方正仿宋_GBK" w:cs="Times New Roman"/>
          <w:sz w:val="32"/>
          <w:szCs w:val="32"/>
        </w:rPr>
        <w:t>2019</w:t>
      </w:r>
      <w:r>
        <w:rPr>
          <w:rFonts w:hint="eastAsia" w:ascii="方正仿宋_GBK" w:eastAsia="方正仿宋_GBK"/>
          <w:sz w:val="32"/>
          <w:szCs w:val="32"/>
        </w:rPr>
        <w:t>—</w:t>
      </w:r>
      <w:r>
        <w:rPr>
          <w:rFonts w:ascii="Times New Roman" w:hAnsi="Times New Roman" w:eastAsia="方正仿宋_GBK" w:cs="Times New Roman"/>
          <w:sz w:val="32"/>
          <w:szCs w:val="32"/>
        </w:rPr>
        <w:t>2020</w:t>
      </w:r>
      <w:r>
        <w:rPr>
          <w:rFonts w:hint="eastAsia" w:ascii="方正仿宋_GBK" w:eastAsia="方正仿宋_GBK"/>
          <w:sz w:val="32"/>
          <w:szCs w:val="32"/>
        </w:rPr>
        <w:t>年，城市特殊困难群众在本区行政区域内区级医院居民医保住院报销比例提高</w:t>
      </w:r>
      <w:r>
        <w:rPr>
          <w:rFonts w:ascii="Times New Roman" w:hAnsi="Times New Roman" w:eastAsia="方正仿宋_GBK" w:cs="Times New Roman"/>
          <w:sz w:val="32"/>
          <w:szCs w:val="32"/>
        </w:rPr>
        <w:t>10</w:t>
      </w:r>
      <w:r>
        <w:rPr>
          <w:rFonts w:hint="eastAsia" w:ascii="方正仿宋_GBK" w:eastAsia="方正仿宋_GBK"/>
          <w:sz w:val="32"/>
          <w:szCs w:val="32"/>
        </w:rPr>
        <w:t>%，起付线降低</w:t>
      </w:r>
      <w:r>
        <w:rPr>
          <w:rFonts w:ascii="Times New Roman" w:hAnsi="Times New Roman" w:eastAsia="方正仿宋_GBK" w:cs="Times New Roman"/>
          <w:sz w:val="32"/>
          <w:szCs w:val="32"/>
        </w:rPr>
        <w:t>50</w:t>
      </w:r>
      <w:r>
        <w:rPr>
          <w:rFonts w:hint="eastAsia" w:ascii="方正仿宋_GBK" w:eastAsia="方正仿宋_GBK"/>
          <w:sz w:val="32"/>
          <w:szCs w:val="32"/>
        </w:rPr>
        <w:t>%；城乡居民大病保险起付标准降低</w:t>
      </w:r>
      <w:r>
        <w:rPr>
          <w:rFonts w:ascii="Times New Roman" w:hAnsi="Times New Roman" w:eastAsia="方正仿宋_GBK" w:cs="Times New Roman"/>
          <w:sz w:val="32"/>
          <w:szCs w:val="32"/>
        </w:rPr>
        <w:t>50</w:t>
      </w:r>
      <w:r>
        <w:rPr>
          <w:rFonts w:hint="eastAsia" w:ascii="方正仿宋_GBK" w:eastAsia="方正仿宋_GBK"/>
          <w:sz w:val="32"/>
          <w:szCs w:val="32"/>
        </w:rPr>
        <w:t>%。</w:t>
      </w:r>
      <w:r>
        <w:rPr>
          <w:rFonts w:hint="eastAsia" w:ascii="方正楷体_GBK" w:hAnsi="方正楷体_GBK" w:eastAsia="方正楷体_GBK" w:cs="方正楷体_GBK"/>
          <w:sz w:val="32"/>
          <w:szCs w:val="32"/>
        </w:rPr>
        <w:t>（责任单位：区卫健委、区医疗保障局、区财政局）</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eastAsia="方正楷体_GBK"/>
          <w:sz w:val="32"/>
          <w:szCs w:val="32"/>
        </w:rPr>
        <w:t>（五）加大教育资助力度</w:t>
      </w:r>
      <w:r>
        <w:rPr>
          <w:rFonts w:hint="eastAsia" w:ascii="方正仿宋_GBK" w:eastAsia="方正仿宋_GBK"/>
          <w:sz w:val="32"/>
          <w:szCs w:val="32"/>
        </w:rPr>
        <w:t>。根据不同教育阶段实际，采取减免相关费用、发放助学金、给予生活补助、安排勤工助学等方式，落实我区现行从学前教育到高等教育学生资助政策，保障城市特殊困难群众基本教育需求。</w:t>
      </w:r>
      <w:r>
        <w:rPr>
          <w:rFonts w:ascii="Times New Roman" w:hAnsi="Times New Roman" w:eastAsia="方正仿宋_GBK" w:cs="Times New Roman"/>
          <w:sz w:val="32"/>
          <w:szCs w:val="32"/>
        </w:rPr>
        <w:t>2019</w:t>
      </w:r>
      <w:r>
        <w:rPr>
          <w:rFonts w:hint="eastAsia" w:ascii="方正仿宋_GBK" w:eastAsia="方正仿宋_GBK"/>
          <w:sz w:val="32"/>
          <w:szCs w:val="32"/>
        </w:rPr>
        <w:t>—</w:t>
      </w:r>
      <w:r>
        <w:rPr>
          <w:rFonts w:ascii="Times New Roman" w:hAnsi="Times New Roman" w:eastAsia="方正仿宋_GBK" w:cs="Times New Roman"/>
          <w:sz w:val="32"/>
          <w:szCs w:val="32"/>
        </w:rPr>
        <w:t>2020</w:t>
      </w:r>
      <w:r>
        <w:rPr>
          <w:rFonts w:hint="eastAsia" w:ascii="方正仿宋_GBK" w:eastAsia="方正仿宋_GBK"/>
          <w:sz w:val="32"/>
          <w:szCs w:val="32"/>
        </w:rPr>
        <w:t>年，对我区高中阶段在校城乡低保对象和城乡特困人员免费提供教科书</w:t>
      </w:r>
      <w:r>
        <w:rPr>
          <w:rFonts w:hint="eastAsia" w:ascii="方正仿宋_GBK" w:eastAsia="方正仿宋_GBK"/>
          <w:sz w:val="32"/>
          <w:szCs w:val="32"/>
          <w:lang w:eastAsia="zh-CN"/>
        </w:rPr>
        <w:t>。</w:t>
      </w:r>
      <w:r>
        <w:rPr>
          <w:rFonts w:hint="eastAsia" w:ascii="方正楷体_GBK" w:hAnsi="方正楷体_GBK" w:eastAsia="方正楷体_GBK" w:cs="方正楷体_GBK"/>
          <w:sz w:val="32"/>
          <w:szCs w:val="32"/>
        </w:rPr>
        <w:t>（责任单位：区教委、区民政局、区财政局）</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（六）</w:t>
      </w:r>
      <w:r>
        <w:rPr>
          <w:rFonts w:hint="eastAsia" w:ascii="方正楷体_GBK" w:eastAsia="方正楷体_GBK"/>
          <w:color w:val="000000"/>
          <w:sz w:val="32"/>
          <w:szCs w:val="32"/>
        </w:rPr>
        <w:t>改善基本居住条件</w:t>
      </w:r>
      <w:r>
        <w:rPr>
          <w:rFonts w:hint="eastAsia" w:ascii="方正仿宋_GBK" w:eastAsia="方正仿宋_GBK"/>
          <w:color w:val="000000"/>
          <w:sz w:val="32"/>
          <w:szCs w:val="32"/>
        </w:rPr>
        <w:t>。不断完善基本住房保障制度，采取实物配租和租赁补贴相结合方式，对符合保障条件的城市特殊困难群众实施优先保障，切实保障城市特殊困难群众的基本住房需求。</w:t>
      </w:r>
      <w:r>
        <w:rPr>
          <w:rFonts w:hint="eastAsia" w:ascii="方正楷体_GBK" w:hAnsi="方正楷体_GBK" w:eastAsia="方正楷体_GBK" w:cs="方正楷体_GBK"/>
          <w:color w:val="000000"/>
          <w:sz w:val="32"/>
          <w:szCs w:val="32"/>
        </w:rPr>
        <w:t>（责任单位：区住房城乡建委、</w:t>
      </w:r>
      <w:r>
        <w:rPr>
          <w:rFonts w:hint="eastAsia" w:ascii="方正楷体_GBK" w:hAnsi="方正楷体_GBK" w:eastAsia="方正楷体_GBK" w:cs="方正楷体_GBK"/>
          <w:sz w:val="32"/>
          <w:szCs w:val="32"/>
        </w:rPr>
        <w:t>区民政局、区财政局）</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（七）开展就业创业帮扶</w:t>
      </w:r>
      <w:r>
        <w:rPr>
          <w:rFonts w:hint="eastAsia" w:ascii="方正仿宋_GBK" w:eastAsia="方正仿宋_GBK"/>
          <w:sz w:val="32"/>
          <w:szCs w:val="32"/>
        </w:rPr>
        <w:t>。加强就业创业政策宣传，发挥就业创业政策对城市特殊困难群众的帮扶作用。加强城市特殊困难群众就业培训，提供就业帮扶，引导镇（街道）、社区和社会单位多渠道开发适合城市特殊困难群众就业的工作岗位。对难以通过市场化就业的城市特殊困难群众，可通过公益性岗位进行过渡安置。抓好零就业城市特殊困难群众家庭动态“清零”，确保法定劳动年龄内有就业意愿和劳动能力成员的城市特殊困难家庭至少</w:t>
      </w:r>
      <w:r>
        <w:rPr>
          <w:rFonts w:ascii="Times New Roman" w:hAnsi="Times New Roman" w:eastAsia="方正仿宋_GBK" w:cs="Times New Roman"/>
          <w:sz w:val="32"/>
          <w:szCs w:val="32"/>
        </w:rPr>
        <w:t>1</w:t>
      </w:r>
      <w:r>
        <w:rPr>
          <w:rFonts w:hint="eastAsia" w:ascii="方正仿宋_GBK" w:eastAsia="方正仿宋_GBK"/>
          <w:sz w:val="32"/>
          <w:szCs w:val="32"/>
        </w:rPr>
        <w:t>人就业。针对不同健康状况、文化水平的城市特殊困难群众，开展职业培训、职业介绍等服务。积极引导有劳动能力的城市特殊困难群众增强主动就业意识，通过自身劳动收入改善家庭生活状况。</w:t>
      </w:r>
      <w:r>
        <w:rPr>
          <w:rFonts w:hint="eastAsia" w:ascii="方正楷体_GBK" w:hAnsi="方正楷体_GBK" w:eastAsia="方正楷体_GBK" w:cs="方正楷体_GBK"/>
          <w:sz w:val="32"/>
          <w:szCs w:val="32"/>
        </w:rPr>
        <w:t>（责任单位：区人力社保局、区民政局、区财政局）</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eastAsia="方正楷体_GBK"/>
          <w:sz w:val="32"/>
          <w:szCs w:val="32"/>
        </w:rPr>
        <w:t>（八）发挥临时救助作用</w:t>
      </w:r>
      <w:r>
        <w:rPr>
          <w:rFonts w:hint="eastAsia" w:ascii="方正仿宋_GBK" w:eastAsia="方正仿宋_GBK"/>
          <w:sz w:val="32"/>
          <w:szCs w:val="32"/>
        </w:rPr>
        <w:t>。根据困难情形和类别，对因火灾、交通事故等意外事件，家庭成员突发重大疾病及遭遇其他特殊困难等原因，导致基本生活暂时出现严重困难、需要立即采取救助措施的家庭和个人，开展急难型临时救助；对因教育、医疗等生活必需支出突然增加超出家庭承受能力，导致基本生活一定时期内出现严重困难的家庭，开展支出型临时救助。原则上临时救助家庭人均可支配收入应低于当地上年度人均可支配收入，且家庭财产状况符合有关规定。对重大生活困难家庭，采取“一事一议”方式，适当提高临时救助标准。</w:t>
      </w:r>
      <w:r>
        <w:rPr>
          <w:rFonts w:hint="eastAsia" w:ascii="方正楷体_GBK" w:hAnsi="方正楷体_GBK" w:eastAsia="方正楷体_GBK" w:cs="方正楷体_GBK"/>
          <w:sz w:val="32"/>
          <w:szCs w:val="32"/>
        </w:rPr>
        <w:t>（责任单位：区民政局、区财政局）</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三、动员社会力量积极帮扶</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（一）建立帮扶平台</w:t>
      </w:r>
      <w:r>
        <w:rPr>
          <w:rFonts w:hint="eastAsia" w:ascii="方正仿宋_GBK" w:eastAsia="方正仿宋_GBK"/>
          <w:sz w:val="32"/>
          <w:szCs w:val="32"/>
        </w:rPr>
        <w:t>。各街道办事处、镇人民政府要按照党政主导、全民参与、属地负责、到户到人“四位一体”原则，做好城市特殊困难群众基本生活、医疗、住房、就业等信息建档立卡工作，动态更新相关情况信息。建立社会力量参与城市特殊困难群众救助帮扶信息服务平台，推进救助帮扶资源供给与救助帮扶需求的有效对接。</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（二）培育帮扶主体</w:t>
      </w:r>
      <w:r>
        <w:rPr>
          <w:rFonts w:hint="eastAsia" w:ascii="方正仿宋_GBK" w:eastAsia="方正仿宋_GBK"/>
          <w:sz w:val="32"/>
          <w:szCs w:val="32"/>
        </w:rPr>
        <w:t>。大力倡导企业参与救助帮扶。鼓励企业通过投资兴业、培训技能、吸纳就业、捐资助困、自主设立救助帮扶公益基金等方式参与救助帮扶。对积极参与城市特殊困难群众救助帮扶且符合信贷条件的各类企业给予信贷支持，并按有关规定给予财政贴息等政策扶持。积极引导社会组织参与救助帮扶。支持社会团体、慈善组织、基金会、社会服务机构等各类组织积极参与救助帮扶。要对社会组织开展救助帮扶活动提供信息服务、业务指导。加强救助帮扶类社会组织登记注册指导，简化登记程序，落实社会组织税收优惠政策。广泛动员公民参与救助帮扶。开展形式多样的帮扶走访活动，畅通信息交流、互帮互助的渠道。引导公民通过爱心捐赠、志愿服务、结对帮扶等多种形式参与救助帮扶。</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（三）构建帮扶机制</w:t>
      </w:r>
      <w:r>
        <w:rPr>
          <w:rFonts w:hint="eastAsia" w:ascii="方正仿宋_GBK" w:eastAsia="方正仿宋_GBK"/>
          <w:sz w:val="32"/>
          <w:szCs w:val="32"/>
        </w:rPr>
        <w:t>。各街道办事处、镇人民政府要整合资源，持续做好元旦、春节等重要节日走访慰问，不断完善走访慰问机制。建立定向联系机制，统筹安排机关干部、社区党员干部，逐一落实定向联系帮扶对象，确保每户城市特殊困难家庭都有帮扶责任主体、帮扶单位人员。建立学校资助在本校就读的城市特殊困难群众子女教育费用机制，帮助城市特殊困难群众减轻教育负担。建立城市特殊困难群众社区就业帮扶机制，多渠道寻找就业岗位，积极为城市特殊困难群众解决就业问题。探索通过政府购买服务方式，为失能、重残等城市特殊困难群众提供居家照护、福利机构托养、医疗康复等个性化、专业化服务。构建救助帮扶联动机制，积极引导社会各界力量、各方面资源聚焦城市特殊困难群众，开展一对一、多帮一结对救助帮扶活动。</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（四）营造帮扶氛围</w:t>
      </w:r>
      <w:r>
        <w:rPr>
          <w:rFonts w:hint="eastAsia" w:ascii="方正仿宋_GBK" w:eastAsia="方正仿宋_GBK"/>
          <w:sz w:val="32"/>
          <w:szCs w:val="32"/>
        </w:rPr>
        <w:t>。充分利用各类媒体，多渠道、多角度宣传救助帮扶政策，宣传社会力量参与城市特殊困难群众救助帮扶的典型案例和先进事迹。广泛开展节日慰问活动、定期入户走访活动、专项帮扶解困活动、关爱慰藉活动等，不断激发社会力量服务城市特殊困难群众的热情，努力营造社会力量积极参与城市特殊困难群众救助帮扶的浓厚氛围。</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四、落实保障措施</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（一）加强组织领导</w:t>
      </w:r>
      <w:r>
        <w:rPr>
          <w:rFonts w:hint="eastAsia" w:ascii="方正仿宋_GBK" w:eastAsia="方正仿宋_GBK"/>
          <w:sz w:val="32"/>
          <w:szCs w:val="32"/>
        </w:rPr>
        <w:t>。各街道办事处、镇人民政府要把实施城市特殊困难群众救助帮扶工作作为保障和改善民生的重要任务，加强组织领导，抓好推进实施；要充分发挥两级“一门受理、协同办理”社会救助联席会议机制作用，定期研究解决本地区城市特殊困难群众救助帮扶问题，细化完善救助帮扶措施，认真履行城市特殊困难群众救助帮扶申请受理、调查审核、救助帮扶等职责。区民政局要加强统筹协调，会同有关部门不断完善救助帮扶政策措施，全面掌握政策落实情况。卫生、教育、住房保障、人力社保等有关部门要认真履职，确保各项救助帮扶政策落到实处。</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（二）加强资金投入</w:t>
      </w:r>
      <w:r>
        <w:rPr>
          <w:rFonts w:hint="eastAsia" w:ascii="方正仿宋_GBK" w:eastAsia="方正仿宋_GBK"/>
          <w:sz w:val="32"/>
          <w:szCs w:val="32"/>
        </w:rPr>
        <w:t>。区级财政要将城市特殊困难群众救助帮扶资金纳入本级预算，随着财力增长逐步加大资金投入。要坚持专款专用，规范资金使用管理，提高资金使用的精准性和有效性。财政、审计部门要加强救助帮扶资金管理使用情况的监督检查，防止挤占、挪用、套取资金等违纪违法行为发生。</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（三）加强精准帮扶</w:t>
      </w:r>
      <w:r>
        <w:rPr>
          <w:rFonts w:hint="eastAsia" w:ascii="方正仿宋_GBK" w:eastAsia="方正仿宋_GBK"/>
          <w:sz w:val="32"/>
          <w:szCs w:val="32"/>
        </w:rPr>
        <w:t>。完善城市特殊困难群众精准识别程序和标准，定期开展普查，加强动态管理，做到精准到户到人，确保应保尽保、应扶尽扶。依托全区“一门受理、协同办理”社会救助信息平台，充分运用大数据、云计算等手段，搭建全区城市特殊困难群众精准救助帮扶大数据库，实现救助帮扶基本信息动态化、数字化、常态化精准管理。逐步推动相关部门信息互联互通、资源共享。</w:t>
      </w:r>
    </w:p>
    <w:p>
      <w:pPr>
        <w:keepNext w:val="0"/>
        <w:keepLines w:val="0"/>
        <w:pageBreakBefore w:val="0"/>
        <w:kinsoku/>
        <w:wordWrap/>
        <w:overflowPunct/>
        <w:topLinePunct w:val="0"/>
        <w:autoSpaceDE w:val="0"/>
        <w:autoSpaceDN/>
        <w:bidi w:val="0"/>
        <w:spacing w:line="60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（四）加强督促检查</w:t>
      </w:r>
      <w:r>
        <w:rPr>
          <w:rFonts w:hint="eastAsia" w:ascii="方正仿宋_GBK" w:eastAsia="方正仿宋_GBK"/>
          <w:sz w:val="32"/>
          <w:szCs w:val="32"/>
        </w:rPr>
        <w:t>。由区民政局牵头，各相关部门密切配合，采取多种方式，加强救助帮扶政策执行情况的督导检查，确保政策落到实处。要将城市特殊困难群众救助帮扶工作情况适时向社会公布，主动接受社会和群众监督，提升救助帮扶工作透明度。</w:t>
      </w:r>
    </w:p>
    <w:p>
      <w:pPr>
        <w:keepNext w:val="0"/>
        <w:keepLines w:val="0"/>
        <w:pageBreakBefore w:val="0"/>
        <w:kinsoku/>
        <w:wordWrap/>
        <w:overflowPunct/>
        <w:topLinePunct w:val="0"/>
        <w:autoSpaceDE w:val="0"/>
        <w:autoSpaceDN/>
        <w:bidi w:val="0"/>
        <w:spacing w:line="600" w:lineRule="exact"/>
        <w:textAlignment w:val="auto"/>
        <w:rPr>
          <w:rFonts w:hint="eastAsia" w:ascii="方正仿宋_GBK" w:eastAsia="方正仿宋_GBK"/>
          <w:sz w:val="32"/>
          <w:szCs w:val="32"/>
        </w:rPr>
      </w:pPr>
      <w:r>
        <w:rPr>
          <w:rFonts w:hint="eastAsia" w:ascii="方正仿宋_GBK" w:eastAsia="方正仿宋_GBK"/>
          <w:sz w:val="32"/>
          <w:szCs w:val="32"/>
        </w:rPr>
        <w:t xml:space="preserve"> </w:t>
      </w:r>
    </w:p>
    <w:p>
      <w:pPr>
        <w:keepNext w:val="0"/>
        <w:keepLines w:val="0"/>
        <w:pageBreakBefore w:val="0"/>
        <w:kinsoku/>
        <w:wordWrap/>
        <w:overflowPunct/>
        <w:topLinePunct w:val="0"/>
        <w:autoSpaceDE w:val="0"/>
        <w:autoSpaceDN/>
        <w:bidi w:val="0"/>
        <w:spacing w:line="600" w:lineRule="exact"/>
        <w:ind w:firstLine="3200" w:firstLineChars="1000"/>
        <w:textAlignment w:val="auto"/>
        <w:rPr>
          <w:rFonts w:hint="eastAsia" w:ascii="方正仿宋_GBK" w:eastAsia="方正仿宋_GBK"/>
          <w:sz w:val="32"/>
          <w:szCs w:val="32"/>
        </w:rPr>
      </w:pPr>
      <w:r>
        <w:rPr>
          <w:rFonts w:hint="eastAsia" w:ascii="方正仿宋_GBK" w:eastAsia="方正仿宋_GBK"/>
          <w:sz w:val="32"/>
          <w:szCs w:val="32"/>
        </w:rPr>
        <w:t xml:space="preserve"> </w:t>
      </w:r>
    </w:p>
    <w:p>
      <w:pPr>
        <w:keepNext w:val="0"/>
        <w:keepLines w:val="0"/>
        <w:pageBreakBefore w:val="0"/>
        <w:widowControl w:val="0"/>
        <w:kinsoku/>
        <w:wordWrap w:val="0"/>
        <w:overflowPunct/>
        <w:topLinePunct w:val="0"/>
        <w:autoSpaceDE w:val="0"/>
        <w:autoSpaceDN/>
        <w:bidi w:val="0"/>
        <w:adjustRightInd/>
        <w:snapToGrid/>
        <w:spacing w:line="600" w:lineRule="exact"/>
        <w:ind w:right="0" w:rightChars="0"/>
        <w:jc w:val="right"/>
        <w:textAlignment w:val="auto"/>
        <w:rPr>
          <w:rFonts w:hint="default" w:ascii="方正仿宋_GBK" w:eastAsia="方正仿宋_GBK"/>
          <w:sz w:val="32"/>
          <w:szCs w:val="32"/>
          <w:lang w:val="en-US" w:eastAsia="zh-CN"/>
        </w:rPr>
      </w:pPr>
      <w:r>
        <w:rPr>
          <w:rFonts w:hint="eastAsia" w:ascii="方正仿宋_GBK" w:eastAsia="方正仿宋_GBK"/>
          <w:sz w:val="32"/>
          <w:szCs w:val="32"/>
        </w:rPr>
        <w:t>重庆市长寿区人民政府办公室</w:t>
      </w:r>
      <w:r>
        <w:rPr>
          <w:rFonts w:hint="eastAsia" w:ascii="方正仿宋_GBK" w:eastAsia="方正仿宋_GBK"/>
          <w:sz w:val="32"/>
          <w:szCs w:val="32"/>
          <w:lang w:val="en-US" w:eastAsia="zh-CN"/>
        </w:rPr>
        <w:t xml:space="preserve">  </w:t>
      </w:r>
    </w:p>
    <w:p>
      <w:pPr>
        <w:keepNext w:val="0"/>
        <w:keepLines w:val="0"/>
        <w:pageBreakBefore w:val="0"/>
        <w:widowControl w:val="0"/>
        <w:kinsoku/>
        <w:wordWrap w:val="0"/>
        <w:overflowPunct/>
        <w:topLinePunct w:val="0"/>
        <w:autoSpaceDE w:val="0"/>
        <w:autoSpaceDN/>
        <w:bidi w:val="0"/>
        <w:adjustRightInd/>
        <w:snapToGrid/>
        <w:spacing w:line="600" w:lineRule="exact"/>
        <w:ind w:right="0" w:rightChars="0"/>
        <w:jc w:val="right"/>
        <w:textAlignment w:val="auto"/>
        <w:rPr>
          <w:rFonts w:hint="default" w:ascii="方正仿宋_GBK" w:eastAsia="方正仿宋_GBK"/>
          <w:sz w:val="32"/>
          <w:szCs w:val="32"/>
          <w:lang w:val="en-US" w:eastAsia="zh-CN"/>
        </w:rPr>
      </w:pPr>
      <w:r>
        <w:rPr>
          <w:rFonts w:ascii="Times New Roman" w:hAnsi="Times New Roman" w:eastAsia="方正仿宋_GBK" w:cs="Times New Roman"/>
          <w:sz w:val="32"/>
          <w:szCs w:val="32"/>
        </w:rPr>
        <w:t>2019</w:t>
      </w:r>
      <w:r>
        <w:rPr>
          <w:rFonts w:hint="eastAsia" w:ascii="方正仿宋_GBK" w:eastAsia="方正仿宋_GBK"/>
          <w:sz w:val="32"/>
          <w:szCs w:val="32"/>
        </w:rPr>
        <w:t>年</w:t>
      </w:r>
      <w:r>
        <w:rPr>
          <w:rFonts w:ascii="Times New Roman" w:hAnsi="Times New Roman" w:eastAsia="方正仿宋_GBK" w:cs="Times New Roman"/>
          <w:sz w:val="32"/>
          <w:szCs w:val="32"/>
        </w:rPr>
        <w:t>8</w:t>
      </w:r>
      <w:r>
        <w:rPr>
          <w:rFonts w:hint="eastAsia" w:ascii="方正仿宋_GBK" w:eastAsia="方正仿宋_GBK"/>
          <w:sz w:val="32"/>
          <w:szCs w:val="32"/>
        </w:rPr>
        <w:t>月</w:t>
      </w:r>
      <w:r>
        <w:rPr>
          <w:rFonts w:ascii="Times New Roman" w:hAnsi="Times New Roman" w:eastAsia="方正仿宋_GBK" w:cs="Times New Roman"/>
          <w:sz w:val="32"/>
          <w:szCs w:val="32"/>
        </w:rPr>
        <w:t>14</w:t>
      </w:r>
      <w:r>
        <w:rPr>
          <w:rFonts w:hint="eastAsia" w:ascii="方正仿宋_GBK" w:eastAsia="方正仿宋_GBK"/>
          <w:sz w:val="32"/>
          <w:szCs w:val="32"/>
        </w:rPr>
        <w:t>日</w:t>
      </w:r>
      <w:r>
        <w:rPr>
          <w:rFonts w:hint="eastAsia" w:ascii="方正仿宋_GBK" w:eastAsia="方正仿宋_GBK"/>
          <w:sz w:val="32"/>
          <w:szCs w:val="32"/>
          <w:lang w:val="en-US" w:eastAsia="zh-CN"/>
        </w:rPr>
        <w:t xml:space="preserve">     </w:t>
      </w:r>
    </w:p>
    <w:p>
      <w:pPr>
        <w:shd w:val="clear" w:color="auto" w:fill="FFFFFF"/>
        <w:rPr>
          <w:rFonts w:ascii="方正仿宋_GBK" w:eastAsia="方正仿宋_GBK"/>
          <w:sz w:val="32"/>
          <w:szCs w:val="32"/>
        </w:rPr>
      </w:pPr>
      <w:r>
        <w:rPr>
          <w:rFonts w:hint="eastAsia" w:ascii="方正仿宋_GBK" w:eastAsia="方正仿宋_GBK"/>
          <w:sz w:val="32"/>
          <w:szCs w:val="32"/>
        </w:rPr>
        <w:t xml:space="preserve"> </w:t>
      </w:r>
    </w:p>
    <w:p>
      <w:pPr>
        <w:shd w:val="clear" w:color="auto" w:fill="FFFFFF"/>
        <w:rPr>
          <w:rFonts w:ascii="方正仿宋_GBK" w:eastAsia="方正仿宋_GBK"/>
          <w:sz w:val="32"/>
          <w:szCs w:val="32"/>
        </w:rPr>
      </w:pPr>
      <w:r>
        <w:rPr>
          <w:rFonts w:hint="eastAsia" w:ascii="方正仿宋_GBK" w:eastAsia="方正仿宋_GBK"/>
          <w:sz w:val="32"/>
          <w:szCs w:val="32"/>
        </w:rPr>
        <w:t xml:space="preserve"> </w:t>
      </w:r>
    </w:p>
    <w:p>
      <w:pPr>
        <w:shd w:val="clear" w:color="auto" w:fill="FFFFFF"/>
        <w:rPr>
          <w:rFonts w:ascii="方正仿宋_GBK" w:eastAsia="方正仿宋_GBK"/>
          <w:sz w:val="32"/>
          <w:szCs w:val="32"/>
        </w:rPr>
      </w:pPr>
      <w:r>
        <w:rPr>
          <w:rFonts w:hint="eastAsia" w:ascii="方正仿宋_GBK" w:eastAsia="方正仿宋_GBK"/>
          <w:sz w:val="32"/>
          <w:szCs w:val="32"/>
        </w:rPr>
        <w:t xml:space="preserve"> </w:t>
      </w:r>
    </w:p>
    <w:p>
      <w:pPr>
        <w:widowControl/>
        <w:wordWrap w:val="0"/>
        <w:spacing w:line="540" w:lineRule="exact"/>
        <w:jc w:val="cente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w:pict>
        <v:shape id="_x0000_s1028" o:spid="_x0000_s1028"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path/>
          <v:fill on="f" focussize="0,0"/>
          <v:stroke on="f" weight="0.5pt" joinstyle="miter"/>
          <v:imagedata o:title=""/>
          <o:lock v:ext="edit"/>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7"/>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w:pict>
        <v:line id="直接连接符 5" o:spid="_x0000_s1029"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path arrowok="t"/>
          <v:fill on="f" focussize="0,0"/>
          <v:stroke weight="1.75pt" color="#005192" miterlimit="8" joinstyle="miter"/>
          <v:imagedata o:title=""/>
          <o:lock v:ext="edit" aspectratio="f"/>
        </v:line>
      </w:pic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重庆市长寿区人民政府办公室</w:t>
    </w:r>
    <w:r>
      <w:rPr>
        <w:rFonts w:hint="eastAsia" w:ascii="宋体" w:hAnsi="宋体" w:eastAsia="宋体" w:cs="宋体"/>
        <w:b/>
        <w:bCs/>
        <w:color w:val="005192"/>
        <w:sz w:val="28"/>
        <w:szCs w:val="44"/>
        <w:lang w:val="en-US" w:eastAsia="zh-CN"/>
      </w:rPr>
      <w:t xml:space="preserve">发布 </w:t>
    </w:r>
    <w:bookmarkStart w:id="0" w:name="_GoBack"/>
    <w:bookmarkEnd w:id="0"/>
    <w:r>
      <w:rPr>
        <w:rFonts w:hint="eastAsia" w:ascii="宋体" w:hAnsi="宋体" w:eastAsia="宋体" w:cs="宋体"/>
        <w:b/>
        <w:bCs/>
        <w:color w:val="005192"/>
        <w:sz w:val="28"/>
        <w:szCs w:val="44"/>
        <w:lang w:val="en-US" w:eastAsia="zh-CN"/>
      </w:rPr>
      <w:t xml:space="preserve"> </w:t>
    </w:r>
  </w:p>
  <w:p>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方正仿宋_GBK" w:hAnsi="方正仿宋_GBK" w:eastAsia="方正仿宋_GBK" w:cs="方正仿宋_GBK"/>
        <w:b/>
        <w:bCs/>
        <w:color w:val="000000" w:themeColor="text1"/>
        <w:sz w:val="32"/>
      </w:rPr>
    </w:pPr>
    <w:r>
      <w:rPr>
        <w:rFonts w:ascii="方正仿宋_GBK" w:hAnsi="方正仿宋_GBK" w:eastAsia="方正仿宋_GBK" w:cs="方正仿宋_GBK"/>
        <w:b/>
        <w:bCs/>
        <w:color w:val="000000" w:themeColor="text1"/>
        <w:sz w:val="32"/>
      </w:rPr>
      <w:pict>
        <v:line id="_x0000_s1026" o:spid="_x0000_s1026" o:spt="20" style="position:absolute;left:0pt;margin-left:-0.05pt;margin-top:54.35pt;height:0pt;width:442.55pt;z-index:251659264;mso-width-relative:page;mso-height-relative:page;"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path arrowok="t"/>
          <v:fill focussize="0,0"/>
          <v:stroke weight="1.75pt" color="#005192" joinstyle="miter"/>
          <v:imagedata o:title=""/>
          <o:lock v:ext="edit"/>
        </v:line>
      </w:pic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重庆市长寿区人民政府行政</w:t>
    </w:r>
    <w:r>
      <w:rPr>
        <w:rFonts w:hint="eastAsia" w:ascii="宋体" w:hAnsi="宋体" w:eastAsia="宋体" w:cs="宋体"/>
        <w:b/>
        <w:bCs/>
        <w:color w:val="005192"/>
        <w:sz w:val="32"/>
        <w:szCs w:val="32"/>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rules v:ext="edit">
        <o:r id="V:Rule1" type="connector" idref="#直接连接符 5"/>
      </o:rules>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172A27"/>
    <w:rsid w:val="002C476B"/>
    <w:rsid w:val="004557D7"/>
    <w:rsid w:val="00644AEE"/>
    <w:rsid w:val="00666F71"/>
    <w:rsid w:val="00912C49"/>
    <w:rsid w:val="00C335FC"/>
    <w:rsid w:val="00EA4938"/>
    <w:rsid w:val="00F8563B"/>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2FA31705"/>
    <w:rsid w:val="31A15F24"/>
    <w:rsid w:val="324A1681"/>
    <w:rsid w:val="36FB1DF0"/>
    <w:rsid w:val="395347B5"/>
    <w:rsid w:val="39A232A0"/>
    <w:rsid w:val="39E745AA"/>
    <w:rsid w:val="3B5A6BBB"/>
    <w:rsid w:val="3B7F3B41"/>
    <w:rsid w:val="3EDA13A6"/>
    <w:rsid w:val="417B75E9"/>
    <w:rsid w:val="42F058B7"/>
    <w:rsid w:val="436109F6"/>
    <w:rsid w:val="441A38D4"/>
    <w:rsid w:val="4504239D"/>
    <w:rsid w:val="4BC77339"/>
    <w:rsid w:val="4C9236C5"/>
    <w:rsid w:val="4E250A85"/>
    <w:rsid w:val="4F5A60F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65233C1"/>
    <w:rsid w:val="69AC0D42"/>
    <w:rsid w:val="6AD9688B"/>
    <w:rsid w:val="6D0E3F22"/>
    <w:rsid w:val="744E4660"/>
    <w:rsid w:val="753355A2"/>
    <w:rsid w:val="759F1C61"/>
    <w:rsid w:val="763856CE"/>
    <w:rsid w:val="769F2DE8"/>
    <w:rsid w:val="76FDEB7C"/>
    <w:rsid w:val="79C65162"/>
    <w:rsid w:val="7C9011D9"/>
    <w:rsid w:val="7DC651C5"/>
    <w:rsid w:val="7F9DA0E8"/>
    <w:rsid w:val="7FCC2834"/>
    <w:rsid w:val="7FF6A4EF"/>
    <w:rsid w:val="92DD1CEF"/>
    <w:rsid w:val="F05B4F69"/>
    <w:rsid w:val="F97D9566"/>
    <w:rsid w:val="FDFF41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4"/>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ca-7"/>
    <w:qFormat/>
    <w:uiPriority w:val="0"/>
  </w:style>
  <w:style w:type="character" w:customStyle="1" w:styleId="14">
    <w:name w:val="批注框文本 Char"/>
    <w:basedOn w:val="10"/>
    <w:link w:val="5"/>
    <w:qFormat/>
    <w:uiPriority w:val="0"/>
    <w:rPr>
      <w:rFonts w:asciiTheme="minorHAnsi" w:hAnsiTheme="minorHAnsi" w:eastAsiaTheme="minorEastAsia" w:cstheme="minorBidi"/>
      <w:kern w:val="2"/>
      <w:sz w:val="18"/>
      <w:szCs w:val="18"/>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597</Words>
  <Characters>3409</Characters>
  <Lines>28</Lines>
  <Paragraphs>7</Paragraphs>
  <TotalTime>1</TotalTime>
  <ScaleCrop>false</ScaleCrop>
  <LinksUpToDate>false</LinksUpToDate>
  <CharactersWithSpaces>3999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2023-10-23T02:53:04Z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