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eastAsia="方正小标宋_GBK"/>
          <w:sz w:val="44"/>
          <w:szCs w:val="44"/>
        </w:rPr>
      </w:pPr>
    </w:p>
    <w:p>
      <w:pPr>
        <w:widowControl w:val="0"/>
        <w:wordWrap/>
        <w:adjustRightInd/>
        <w:snapToGrid/>
        <w:spacing w:line="540" w:lineRule="exact"/>
        <w:ind w:left="0" w:leftChars="0" w:right="0" w:firstLine="0" w:firstLineChars="0"/>
        <w:jc w:val="center"/>
        <w:textAlignment w:val="auto"/>
        <w:outlineLvl w:val="9"/>
        <w:rPr>
          <w:rFonts w:hint="eastAsia" w:ascii="方正小标宋_GBK" w:eastAsia="方正小标宋_GBK"/>
          <w:sz w:val="44"/>
          <w:szCs w:val="44"/>
        </w:rPr>
      </w:pPr>
      <w:r>
        <w:rPr>
          <w:rFonts w:hint="eastAsia" w:ascii="方正小标宋_GBK" w:eastAsia="方正小标宋_GBK"/>
          <w:sz w:val="44"/>
          <w:szCs w:val="44"/>
        </w:rPr>
        <w:t>重庆市长寿区人民政府</w:t>
      </w:r>
    </w:p>
    <w:p>
      <w:pPr>
        <w:widowControl w:val="0"/>
        <w:wordWrap/>
        <w:adjustRightInd/>
        <w:snapToGrid/>
        <w:spacing w:line="540" w:lineRule="exact"/>
        <w:ind w:left="0" w:leftChars="0" w:right="0" w:firstLine="0" w:firstLineChars="0"/>
        <w:jc w:val="center"/>
        <w:textAlignment w:val="auto"/>
        <w:outlineLvl w:val="9"/>
        <w:rPr>
          <w:rFonts w:hint="eastAsia" w:ascii="方正小标宋_GBK" w:eastAsia="方正小标宋_GBK"/>
          <w:sz w:val="44"/>
          <w:szCs w:val="44"/>
        </w:rPr>
      </w:pPr>
      <w:r>
        <w:rPr>
          <w:rFonts w:hint="eastAsia" w:ascii="方正小标宋_GBK" w:eastAsia="方正小标宋_GBK"/>
          <w:sz w:val="44"/>
          <w:szCs w:val="44"/>
        </w:rPr>
        <w:t>关于印发长寿区涉农资金统筹整合管理</w:t>
      </w:r>
    </w:p>
    <w:p>
      <w:pPr>
        <w:widowControl w:val="0"/>
        <w:wordWrap/>
        <w:adjustRightInd/>
        <w:snapToGrid/>
        <w:spacing w:line="540" w:lineRule="exact"/>
        <w:ind w:left="0" w:leftChars="0" w:right="0" w:firstLine="0" w:firstLineChars="0"/>
        <w:jc w:val="center"/>
        <w:textAlignment w:val="auto"/>
        <w:outlineLvl w:val="9"/>
        <w:rPr>
          <w:rFonts w:hint="eastAsia" w:ascii="方正小标宋_GBK" w:eastAsia="方正小标宋_GBK"/>
          <w:sz w:val="44"/>
          <w:szCs w:val="44"/>
        </w:rPr>
      </w:pPr>
      <w:r>
        <w:rPr>
          <w:rFonts w:hint="eastAsia" w:ascii="方正小标宋_GBK" w:eastAsia="方正小标宋_GBK"/>
          <w:sz w:val="44"/>
          <w:szCs w:val="44"/>
        </w:rPr>
        <w:t>办法（试行）的通知</w:t>
      </w:r>
    </w:p>
    <w:p>
      <w:pPr>
        <w:widowControl w:val="0"/>
        <w:shd w:val="clear" w:color="auto" w:fill="FFFFFF"/>
        <w:wordWrap/>
        <w:adjustRightInd/>
        <w:snapToGrid/>
        <w:spacing w:line="540" w:lineRule="exact"/>
        <w:ind w:left="0" w:leftChars="0" w:right="0" w:firstLine="0" w:firstLineChars="0"/>
        <w:jc w:val="center"/>
        <w:textAlignment w:val="auto"/>
        <w:outlineLvl w:val="9"/>
        <w:rPr>
          <w:rFonts w:hint="eastAsia"/>
        </w:rPr>
      </w:pPr>
      <w:r>
        <w:rPr>
          <w:rFonts w:hint="eastAsia" w:ascii="方正仿宋_GBK" w:hAnsi="方正仿宋_GBK" w:eastAsia="方正仿宋_GBK" w:cs="方正仿宋_GBK"/>
          <w:sz w:val="32"/>
          <w:szCs w:val="32"/>
        </w:rPr>
        <w:t>长寿府发〔</w:t>
      </w:r>
      <w:r>
        <w:rPr>
          <w:rFonts w:hint="default"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28</w:t>
      </w:r>
      <w:r>
        <w:rPr>
          <w:rFonts w:hint="eastAsia" w:ascii="方正仿宋_GBK" w:hAnsi="方正仿宋_GBK" w:eastAsia="方正仿宋_GBK" w:cs="方正仿宋_GBK"/>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各街道办事处、镇人民政府，区政府有关部门，有关单位：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《长寿区涉农资金统筹整合管理办法（试行）》，经十八届区政府常务会第</w:t>
      </w:r>
      <w:r>
        <w:rPr>
          <w:rFonts w:hint="default" w:ascii="Times New Roman" w:hAnsi="Times New Roman" w:eastAsia="方正仿宋_GBK" w:cs="Times New Roman"/>
          <w:sz w:val="32"/>
          <w:szCs w:val="32"/>
        </w:rPr>
        <w:t>74</w:t>
      </w:r>
      <w:r>
        <w:rPr>
          <w:rFonts w:hint="eastAsia" w:ascii="方正仿宋_GBK" w:hAnsi="方正仿宋_GBK" w:eastAsia="方正仿宋_GBK" w:cs="方正仿宋_GBK"/>
          <w:sz w:val="32"/>
          <w:szCs w:val="32"/>
        </w:rPr>
        <w:t>次会议研究同意，现印发给你们，请认真组织实施。</w:t>
      </w:r>
    </w:p>
    <w:p>
      <w:pPr>
        <w:pStyle w:val="2"/>
        <w:keepNext w:val="0"/>
        <w:keepLines w:val="0"/>
        <w:pageBreakBefore w:val="0"/>
        <w:widowControl w:val="0"/>
        <w:kinsoku/>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重庆市长寿区人民政府</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年</w:t>
      </w:r>
      <w:r>
        <w:rPr>
          <w:rFonts w:hint="default"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rPr>
        <w:t>8</w:t>
      </w:r>
      <w:r>
        <w:rPr>
          <w:rFonts w:hint="eastAsia" w:ascii="方正仿宋_GBK" w:hAnsi="方正仿宋_GBK" w:eastAsia="方正仿宋_GBK" w:cs="方正仿宋_GBK"/>
          <w:sz w:val="32"/>
          <w:szCs w:val="32"/>
        </w:rPr>
        <w:t>日</w:t>
      </w: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eastAsia="方正小标宋_GBK"/>
          <w:sz w:val="44"/>
          <w:szCs w:val="44"/>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eastAsia="方正小标宋_GBK"/>
          <w:sz w:val="44"/>
          <w:szCs w:val="44"/>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eastAsia="方正小标宋_GBK"/>
          <w:sz w:val="44"/>
          <w:szCs w:val="44"/>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eastAsia="方正小标宋_GBK"/>
          <w:sz w:val="44"/>
          <w:szCs w:val="44"/>
        </w:rPr>
      </w:pPr>
    </w:p>
    <w:p>
      <w:pPr>
        <w:keepNext w:val="0"/>
        <w:keepLines w:val="0"/>
        <w:pageBreakBefore w:val="0"/>
        <w:widowControl w:val="0"/>
        <w:kinsoku/>
        <w:overflowPunct/>
        <w:topLinePunct w:val="0"/>
        <w:autoSpaceDE/>
        <w:autoSpaceDN/>
        <w:bidi w:val="0"/>
        <w:adjustRightInd/>
        <w:snapToGrid/>
        <w:spacing w:line="600" w:lineRule="exact"/>
        <w:jc w:val="both"/>
        <w:textAlignment w:val="auto"/>
        <w:rPr>
          <w:rFonts w:hint="eastAsia" w:eastAsia="方正小标宋_GBK"/>
          <w:sz w:val="44"/>
          <w:szCs w:val="44"/>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eastAsia="方正小标宋_GBK"/>
          <w:sz w:val="44"/>
          <w:szCs w:val="44"/>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eastAsia="方正小标宋_GBK"/>
          <w:b/>
          <w:bCs/>
          <w:sz w:val="44"/>
          <w:szCs w:val="44"/>
        </w:rPr>
      </w:pPr>
      <w:r>
        <w:rPr>
          <w:rFonts w:hint="eastAsia" w:eastAsia="方正小标宋_GBK"/>
          <w:sz w:val="44"/>
          <w:szCs w:val="44"/>
        </w:rPr>
        <w:t>长寿区</w:t>
      </w:r>
      <w:r>
        <w:rPr>
          <w:rFonts w:eastAsia="方正小标宋_GBK"/>
          <w:sz w:val="44"/>
          <w:szCs w:val="44"/>
        </w:rPr>
        <w:t>涉农资金</w:t>
      </w:r>
      <w:r>
        <w:rPr>
          <w:rFonts w:hint="eastAsia" w:eastAsia="方正小标宋_GBK"/>
          <w:sz w:val="44"/>
          <w:szCs w:val="44"/>
        </w:rPr>
        <w:t>统筹整合管理办法</w:t>
      </w:r>
      <w:r>
        <w:rPr>
          <w:rFonts w:eastAsia="方正小标宋_GBK"/>
          <w:sz w:val="44"/>
          <w:szCs w:val="44"/>
        </w:rPr>
        <w:t>（试行）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32"/>
          <w:szCs w:val="32"/>
        </w:rPr>
      </w:pPr>
      <w:r>
        <w:rPr>
          <w:rFonts w:hint="eastAsia" w:eastAsia="方正黑体_GBK"/>
          <w:bCs/>
          <w:sz w:val="32"/>
          <w:szCs w:val="32"/>
          <w:lang w:eastAsia="zh-CN"/>
        </w:rPr>
        <w:t>第一章</w:t>
      </w:r>
      <w:r>
        <w:rPr>
          <w:rFonts w:hint="eastAsia" w:ascii="方正黑体_GBK" w:hAnsi="方正黑体_GBK" w:eastAsia="方正黑体_GBK" w:cs="方正黑体_GBK"/>
          <w:bCs/>
          <w:sz w:val="32"/>
          <w:szCs w:val="32"/>
        </w:rPr>
        <w:t>　</w:t>
      </w:r>
      <w:r>
        <w:rPr>
          <w:rFonts w:eastAsia="方正黑体_GBK"/>
          <w:bCs/>
          <w:sz w:val="32"/>
          <w:szCs w:val="32"/>
        </w:rPr>
        <w:t>总则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第一条</w:t>
      </w:r>
      <w:r>
        <w:rPr>
          <w:rFonts w:hint="eastAsia" w:ascii="方正仿宋_GBK" w:hAnsi="方正仿宋_GBK" w:eastAsia="方正仿宋_GBK" w:cs="方正仿宋_GBK"/>
          <w:sz w:val="32"/>
          <w:szCs w:val="32"/>
        </w:rPr>
        <w:t xml:space="preserve">  根据《国务院关于探索建立涉农资金统筹整合长效机制的意见》（国发〔</w:t>
      </w:r>
      <w:r>
        <w:rPr>
          <w:rFonts w:hint="default" w:ascii="Times New Roman" w:hAnsi="Times New Roman" w:eastAsia="方正仿宋_GBK" w:cs="Times New Roman"/>
          <w:sz w:val="32"/>
          <w:szCs w:val="32"/>
        </w:rPr>
        <w:t>2017</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54</w:t>
      </w:r>
      <w:r>
        <w:rPr>
          <w:rFonts w:hint="eastAsia" w:ascii="方正仿宋_GBK" w:hAnsi="方正仿宋_GBK" w:eastAsia="方正仿宋_GBK" w:cs="方正仿宋_GBK"/>
          <w:sz w:val="32"/>
          <w:szCs w:val="32"/>
        </w:rPr>
        <w:t>号）和《市政府关于探索建立涉农资金统筹整合长效机制的实施意见》（渝府发〔</w:t>
      </w:r>
      <w:r>
        <w:rPr>
          <w:rFonts w:hint="default" w:ascii="Times New Roman" w:hAnsi="Times New Roman" w:eastAsia="方正仿宋_GBK" w:cs="Times New Roman"/>
          <w:sz w:val="32"/>
          <w:szCs w:val="32"/>
        </w:rPr>
        <w:t>2018</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58</w:t>
      </w:r>
      <w:r>
        <w:rPr>
          <w:rFonts w:hint="eastAsia" w:ascii="方正仿宋_GBK" w:hAnsi="方正仿宋_GBK" w:eastAsia="方正仿宋_GBK" w:cs="方正仿宋_GBK"/>
          <w:sz w:val="32"/>
          <w:szCs w:val="32"/>
        </w:rPr>
        <w:t>号）文件精神，为推进涉农资金行业内整合与行业间统筹，集中资源实施乡村振兴战略，结合我区实际，制定本办法。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第二条</w:t>
      </w:r>
      <w:r>
        <w:rPr>
          <w:rFonts w:hint="eastAsia" w:ascii="方正仿宋_GBK" w:hAnsi="方正仿宋_GBK" w:eastAsia="方正仿宋_GBK" w:cs="方正仿宋_GBK"/>
          <w:sz w:val="32"/>
          <w:szCs w:val="32"/>
        </w:rPr>
        <w:t xml:space="preserve">  涉农资金统筹整合的目标是紧紧围绕实施乡村振兴战略和打赢脱贫攻坚战，将涉农资金统筹整合作为建立健全投入保障制度、加快推进农业供给侧结构性改革和全面建成小康社会的重要抓手，作为深化财税体制改革和政府投资体制改革的重要途径，创新完善农村投融资体制和涉农资金供给机制，提升国家支农政策效果和支农资金使用效益，为两项工作提供有力的财政支持和资金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第二章　整合范围</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bCs/>
          <w:sz w:val="32"/>
          <w:szCs w:val="32"/>
        </w:rPr>
      </w:pP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kern w:val="2"/>
          <w:sz w:val="32"/>
          <w:szCs w:val="32"/>
        </w:rPr>
      </w:pPr>
      <w:r>
        <w:rPr>
          <w:rFonts w:hint="eastAsia" w:ascii="方正黑体_GBK" w:hAnsi="方正黑体_GBK" w:eastAsia="方正黑体_GBK" w:cs="方正黑体_GBK"/>
          <w:kern w:val="2"/>
          <w:sz w:val="32"/>
          <w:szCs w:val="32"/>
        </w:rPr>
        <w:t>第三条</w:t>
      </w:r>
      <w:r>
        <w:rPr>
          <w:rFonts w:hint="eastAsia" w:ascii="方正仿宋_GBK" w:hAnsi="方正仿宋_GBK" w:eastAsia="方正仿宋_GBK" w:cs="方正仿宋_GBK"/>
          <w:kern w:val="2"/>
          <w:sz w:val="32"/>
          <w:szCs w:val="32"/>
        </w:rPr>
        <w:t xml:space="preserve"> </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kern w:val="2"/>
          <w:sz w:val="32"/>
          <w:szCs w:val="32"/>
        </w:rPr>
        <w:t xml:space="preserve">涉农资金统筹整合按照“大专项+任务清单”模式，实行差别化管理。 </w:t>
      </w: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kern w:val="2"/>
          <w:sz w:val="32"/>
          <w:szCs w:val="32"/>
        </w:rPr>
      </w:pPr>
      <w:r>
        <w:rPr>
          <w:rFonts w:hint="eastAsia" w:ascii="方正黑体_GBK" w:hAnsi="方正黑体_GBK" w:eastAsia="方正黑体_GBK" w:cs="方正黑体_GBK"/>
          <w:kern w:val="2"/>
          <w:sz w:val="32"/>
          <w:szCs w:val="32"/>
        </w:rPr>
        <w:t>第四条</w:t>
      </w:r>
      <w:r>
        <w:rPr>
          <w:rFonts w:hint="eastAsia" w:ascii="方正仿宋_GBK" w:hAnsi="方正仿宋_GBK" w:eastAsia="方正仿宋_GBK" w:cs="方正仿宋_GBK"/>
          <w:kern w:val="2"/>
          <w:sz w:val="32"/>
          <w:szCs w:val="32"/>
        </w:rPr>
        <w:t xml:space="preserve">  本办法所管理的涉农资金是指中央、市级和区级财政安排用于农业生产发展和农村基础设施建设等方面资金，具体包括农业生产（产业）发展、农业资源及生态保护、农村土地承包经营权确权登记颁证、动物防疫、农业服务体系建设、农业综合开发、土地整治、扶持农村集体经济发展、林业生态保护恢复、林业改革发展、水利发展、大中型水库移民后期扶持、农村“三社”融合发展、农业生产救灾及特大防汛抗旱，以及水利、林业涉农基建投资等专项。</w:t>
      </w: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kern w:val="2"/>
          <w:sz w:val="32"/>
          <w:szCs w:val="32"/>
        </w:rPr>
      </w:pPr>
      <w:r>
        <w:rPr>
          <w:rFonts w:hint="eastAsia" w:ascii="方正黑体_GBK" w:hAnsi="方正黑体_GBK" w:eastAsia="方正黑体_GBK" w:cs="方正黑体_GBK"/>
          <w:kern w:val="2"/>
          <w:sz w:val="32"/>
          <w:szCs w:val="32"/>
        </w:rPr>
        <w:t>第五条</w:t>
      </w:r>
      <w:r>
        <w:rPr>
          <w:rFonts w:hint="eastAsia" w:ascii="方正仿宋_GBK" w:hAnsi="方正仿宋_GBK" w:eastAsia="方正仿宋_GBK" w:cs="方正仿宋_GBK"/>
          <w:kern w:val="2"/>
          <w:sz w:val="32"/>
          <w:szCs w:val="32"/>
        </w:rPr>
        <w:t xml:space="preserve">  涉农资金任务清单分为约束性任务和指导性任务。约束性任务主要包括中央、市级和区级明确要求的涉及国计民生的事项、重大规划任务、新设试点任务以及农业生产救灾、对农民直接补贴等，该部分资金不纳入统筹整合范围。其他任务为指导性任务，纳入涉农资金统筹整合。</w:t>
      </w: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rPr>
        <w:t>第六条  在完成约束性任务的前提下，中央资金在同一“大专项”内调剂使用，市级、区级资金跨“大专项”整合使用。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第三章　整合方式</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黑体_GBK" w:hAnsi="方正黑体_GBK" w:eastAsia="方正黑体_GBK" w:cs="方正黑体_GBK"/>
          <w:sz w:val="32"/>
          <w:szCs w:val="32"/>
        </w:rPr>
        <w:t>第七条</w:t>
      </w:r>
      <w:r>
        <w:rPr>
          <w:rFonts w:hint="eastAsia" w:ascii="方正仿宋_GBK" w:hAnsi="方正仿宋_GBK" w:eastAsia="方正仿宋_GBK" w:cs="方正仿宋_GBK"/>
          <w:sz w:val="32"/>
          <w:szCs w:val="32"/>
        </w:rPr>
        <w:t xml:space="preserve">  成立长寿区涉农资金统筹整合工作领导小组，由区政府区长任组长，区政府分管财政、农业的区领导任副组长，区发展改革委、区财政局、区农业农村委（区扶贫办）、区规划和自然资源局、区水利局、区林业局、区畜牧兽医局、区供销合作社为成员单位。领导小组日常工作由区委乡村振兴办承担，具体负责项目的统筹、规划、汇总及审核工作。 长寿区涉农资金统筹整合工作，在工作领导小组的统筹领导下开展。区财政局负责资金统筹、预算下达、资金拨付和绩效考核工作；涉农行业主管部门（以下简称行业主管部门）根据各自职能职责，负责项目编制、申报、实施、监督、验收和绩效评价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第八条</w:t>
      </w:r>
      <w:r>
        <w:rPr>
          <w:rFonts w:hint="eastAsia" w:ascii="方正仿宋_GBK" w:hAnsi="方正仿宋_GBK" w:eastAsia="方正仿宋_GBK" w:cs="方正仿宋_GBK"/>
          <w:sz w:val="32"/>
          <w:szCs w:val="32"/>
        </w:rPr>
        <w:t xml:space="preserve">  涉农资金统筹整合按照“统筹规划，集中使用”的原则，凡应纳入统筹整合范围目录的专项资金，原则上应统尽统，充分发挥规划的引领作用，把统筹整合后的资金集中用于支持农村一二三产业融合发展、推进适度规模经营、扶持农村集体经济、支持农业产业发展等涉农重点领域。  </w:t>
      </w: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kern w:val="2"/>
          <w:sz w:val="32"/>
          <w:szCs w:val="32"/>
        </w:rPr>
      </w:pPr>
      <w:r>
        <w:rPr>
          <w:rFonts w:hint="eastAsia" w:ascii="方正黑体_GBK" w:hAnsi="方正黑体_GBK" w:eastAsia="方正黑体_GBK" w:cs="方正黑体_GBK"/>
          <w:sz w:val="32"/>
          <w:szCs w:val="32"/>
        </w:rPr>
        <w:t>第九条</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kern w:val="2"/>
          <w:sz w:val="32"/>
          <w:szCs w:val="32"/>
        </w:rPr>
        <w:t>区财政局、</w:t>
      </w:r>
      <w:r>
        <w:rPr>
          <w:rFonts w:hint="eastAsia" w:ascii="方正仿宋_GBK" w:hAnsi="方正仿宋_GBK" w:eastAsia="方正仿宋_GBK" w:cs="方正仿宋_GBK"/>
          <w:sz w:val="32"/>
          <w:szCs w:val="32"/>
        </w:rPr>
        <w:t>区委乡村振兴办</w:t>
      </w:r>
      <w:r>
        <w:rPr>
          <w:rFonts w:hint="eastAsia" w:ascii="方正仿宋_GBK" w:hAnsi="方正仿宋_GBK" w:eastAsia="方正仿宋_GBK" w:cs="方正仿宋_GBK"/>
          <w:kern w:val="2"/>
          <w:sz w:val="32"/>
          <w:szCs w:val="32"/>
        </w:rPr>
        <w:t>以资金、规划和任务清单管理为抓手，指导和支持涉农资金统筹整合。项目质量控制和验收工作坚持按项目类型实行行业归口管理，由整合后实际实施项目的行业主管部门实施。</w:t>
      </w: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方正仿宋_GBK" w:hAnsi="方正仿宋_GBK" w:eastAsia="方正仿宋_GBK" w:cs="方正仿宋_GBK"/>
          <w:kern w:val="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第四章　整合程序</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第十条</w:t>
      </w:r>
      <w:r>
        <w:rPr>
          <w:rFonts w:hint="eastAsia" w:ascii="方正仿宋_GBK" w:hAnsi="方正仿宋_GBK" w:eastAsia="方正仿宋_GBK" w:cs="方正仿宋_GBK"/>
          <w:sz w:val="32"/>
          <w:szCs w:val="32"/>
        </w:rPr>
        <w:t>　行业主管部门围绕区委、区政府确定的中心工作和目标任务按照涉农资金使用方向编制项目报区委乡村振兴办。区委乡村振兴办会同区财政局对项目进行汇总及审查，定期报区政府研究形成项目库。每年年底，区财政局会同行业主管部门根据涉农资金和任务清单下达情况，测算下年度可统筹整合资金。区委乡村振兴办、区财政局从已形成的项目库中提取项目，编制涉农资金统筹整合使用方案，报涉农资金统筹整合工作领导小组审定。根据审定的方案区财政局将资金预算下达给行业主管部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（一）项目申报。</w:t>
      </w:r>
      <w:r>
        <w:rPr>
          <w:rFonts w:hint="eastAsia" w:ascii="方正仿宋_GBK" w:hAnsi="方正仿宋_GBK" w:eastAsia="方正仿宋_GBK" w:cs="方正仿宋_GBK"/>
          <w:sz w:val="32"/>
          <w:szCs w:val="32"/>
        </w:rPr>
        <w:t>每年</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sz w:val="32"/>
          <w:szCs w:val="32"/>
        </w:rPr>
        <w:t>月初由行业主管部门牵头指导街镇围绕乡村振兴战略、脱贫攻坚、农村人居环境改造等工作开展次年项目申报，细化各类项目的申报对象、范围、条件、流程、补助标准和绩效目标等。街镇在每年</w:t>
      </w:r>
      <w:r>
        <w:rPr>
          <w:rFonts w:hint="default" w:ascii="Times New Roman" w:hAnsi="Times New Roman" w:eastAsia="方正仿宋_GBK" w:cs="Times New Roman"/>
          <w:sz w:val="32"/>
          <w:szCs w:val="32"/>
        </w:rPr>
        <w:t>11</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sz w:val="32"/>
          <w:szCs w:val="32"/>
        </w:rPr>
        <w:t>日前将申报项目报行业主管部门。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color w:val="FF0000"/>
          <w:sz w:val="32"/>
          <w:szCs w:val="32"/>
        </w:rPr>
      </w:pPr>
      <w:r>
        <w:rPr>
          <w:rFonts w:hint="eastAsia" w:ascii="方正楷体_GBK" w:hAnsi="方正楷体_GBK" w:eastAsia="方正楷体_GBK" w:cs="方正楷体_GBK"/>
          <w:sz w:val="32"/>
          <w:szCs w:val="32"/>
        </w:rPr>
        <w:t>（二）项目审查。</w:t>
      </w:r>
      <w:r>
        <w:rPr>
          <w:rFonts w:hint="eastAsia" w:ascii="方正仿宋_GBK" w:hAnsi="方正仿宋_GBK" w:eastAsia="方正仿宋_GBK" w:cs="方正仿宋_GBK"/>
          <w:sz w:val="32"/>
          <w:szCs w:val="32"/>
        </w:rPr>
        <w:t>行业主管部门结合当年度农业农村重点工作和相关规划对项目必要性、合理性和合规性审查，确保所报项目符合统筹整合涉农资金投向，并按照“轻重缓急”和实施年度进行排序。行业主管部门在每年</w:t>
      </w:r>
      <w:r>
        <w:rPr>
          <w:rFonts w:hint="default" w:ascii="Times New Roman" w:hAnsi="Times New Roman" w:eastAsia="方正仿宋_GBK" w:cs="Times New Roman"/>
          <w:sz w:val="32"/>
          <w:szCs w:val="32"/>
        </w:rPr>
        <w:t>11</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rPr>
        <w:t>30</w:t>
      </w:r>
      <w:r>
        <w:rPr>
          <w:rFonts w:hint="eastAsia" w:ascii="方正仿宋_GBK" w:hAnsi="方正仿宋_GBK" w:eastAsia="方正仿宋_GBK" w:cs="方正仿宋_GBK"/>
          <w:sz w:val="32"/>
          <w:szCs w:val="32"/>
        </w:rPr>
        <w:t>日前将通过审查的项目清单报区委乡村振兴办汇总。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（三）建立项目库。</w:t>
      </w:r>
      <w:r>
        <w:rPr>
          <w:rFonts w:hint="eastAsia" w:ascii="方正仿宋_GBK" w:hAnsi="方正仿宋_GBK" w:eastAsia="方正仿宋_GBK" w:cs="方正仿宋_GBK"/>
          <w:sz w:val="32"/>
          <w:szCs w:val="32"/>
        </w:rPr>
        <w:t>区委乡村振兴办会同涉农资金统筹整合工作领导小组成员单位，对申报的项目进行会审，每年</w:t>
      </w:r>
      <w:r>
        <w:rPr>
          <w:rFonts w:hint="default" w:ascii="Times New Roman" w:hAnsi="Times New Roman" w:eastAsia="方正仿宋_GBK" w:cs="Times New Roman"/>
          <w:sz w:val="32"/>
          <w:szCs w:val="32"/>
        </w:rPr>
        <w:t>12</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rPr>
        <w:t>31</w:t>
      </w:r>
      <w:r>
        <w:rPr>
          <w:rFonts w:hint="eastAsia" w:ascii="方正仿宋_GBK" w:hAnsi="方正仿宋_GBK" w:eastAsia="方正仿宋_GBK" w:cs="方正仿宋_GBK"/>
          <w:sz w:val="32"/>
          <w:szCs w:val="32"/>
        </w:rPr>
        <w:t>日前报区政府审定后建立项目库。未纳入项目库管理的项目原则上不予安排资金。项目库调整，按原申报程序报批。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（四）编制年度方案及计划下达。</w:t>
      </w:r>
      <w:r>
        <w:rPr>
          <w:rFonts w:hint="eastAsia" w:ascii="方正仿宋_GBK" w:hAnsi="方正仿宋_GBK" w:eastAsia="方正仿宋_GBK" w:cs="方正仿宋_GBK"/>
          <w:sz w:val="32"/>
          <w:szCs w:val="32"/>
        </w:rPr>
        <w:t>每年</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rPr>
        <w:t>20</w:t>
      </w:r>
      <w:r>
        <w:rPr>
          <w:rFonts w:hint="eastAsia" w:ascii="方正仿宋_GBK" w:hAnsi="方正仿宋_GBK" w:eastAsia="方正仿宋_GBK" w:cs="方正仿宋_GBK"/>
          <w:sz w:val="32"/>
          <w:szCs w:val="32"/>
        </w:rPr>
        <w:t>日前，由区委乡村振兴办会同区财政局，在年度可统筹资金总量内，根据项目库制订当年度涉农资金统筹整合使用方案，报涉农资金统筹整合工作领导小组审定后，区委乡村振兴办会同区财政局下达行业主管部门年度涉农资金统筹整合使用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（五）项目实施。</w:t>
      </w:r>
      <w:r>
        <w:rPr>
          <w:rFonts w:hint="eastAsia" w:ascii="方正仿宋_GBK" w:hAnsi="方正仿宋_GBK" w:eastAsia="方正仿宋_GBK" w:cs="方正仿宋_GBK"/>
          <w:sz w:val="32"/>
          <w:szCs w:val="32"/>
        </w:rPr>
        <w:t>行业主管部门根据下达的涉农资金统筹整合使用计划，按照所属项目管理办法，以及政府投资项目管理办法组织项目实施。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第五章　资金管理</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第十一条</w:t>
      </w:r>
      <w:r>
        <w:rPr>
          <w:rFonts w:hint="eastAsia" w:ascii="方正仿宋_GBK" w:hAnsi="方正仿宋_GBK" w:eastAsia="方正仿宋_GBK" w:cs="方正仿宋_GBK"/>
          <w:sz w:val="32"/>
          <w:szCs w:val="32"/>
        </w:rPr>
        <w:t>　按照实行先集中、再统一分配的办法，开展涉农资金行业内整合与行业间统筹，根据项目计划安排资金预算，资金预算管理和拨付按照实际使用方向所属专项资金管理办法执行。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第十二条</w:t>
      </w:r>
      <w:r>
        <w:rPr>
          <w:rFonts w:hint="eastAsia" w:ascii="方正仿宋_GBK" w:hAnsi="方正仿宋_GBK" w:eastAsia="方正仿宋_GBK" w:cs="方正仿宋_GBK"/>
          <w:sz w:val="32"/>
          <w:szCs w:val="32"/>
        </w:rPr>
        <w:t xml:space="preserve">  涉农资金统筹整合项目的使用方向和建设内容不得随意变</w:t>
      </w:r>
      <w:r>
        <w:rPr>
          <w:rFonts w:hint="eastAsia" w:ascii="方正仿宋_GBK" w:hAnsi="方正仿宋_GBK" w:eastAsia="方正仿宋_GBK" w:cs="方正仿宋_GBK"/>
          <w:sz w:val="32"/>
          <w:szCs w:val="32"/>
          <w:lang w:eastAsia="zh-CN"/>
        </w:rPr>
        <w:t>更</w:t>
      </w:r>
      <w:r>
        <w:rPr>
          <w:rFonts w:hint="eastAsia" w:ascii="方正仿宋_GBK" w:hAnsi="方正仿宋_GBK" w:eastAsia="方正仿宋_GBK" w:cs="方正仿宋_GBK"/>
          <w:sz w:val="32"/>
          <w:szCs w:val="32"/>
        </w:rPr>
        <w:t>，确需变更的必须报工作领导小组同意后方可调整。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第十三条</w:t>
      </w:r>
      <w:r>
        <w:rPr>
          <w:rFonts w:hint="eastAsia" w:ascii="方正仿宋_GBK" w:hAnsi="方正仿宋_GBK" w:eastAsia="方正仿宋_GBK" w:cs="方正仿宋_GBK"/>
          <w:sz w:val="32"/>
          <w:szCs w:val="32"/>
        </w:rPr>
        <w:t>　统筹整合资金应按照项目计划及资金文件所批复的建设期限内使用，未在规定期限内使用的，按照存量资金和部门零结转等管理办法由区财政收回另行统筹安排使用。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第六章　绩效评价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第十四条</w:t>
      </w:r>
      <w:r>
        <w:rPr>
          <w:rFonts w:hint="eastAsia" w:ascii="方正仿宋_GBK" w:hAnsi="方正仿宋_GBK" w:eastAsia="方正仿宋_GBK" w:cs="方正仿宋_GBK"/>
          <w:sz w:val="32"/>
          <w:szCs w:val="32"/>
        </w:rPr>
        <w:t>　行业主管部门和责任单位要对统筹整合涉农资金的使用做好绩效评价工作，从项目管理、资金管理、绩效实现等方面入手，认真分析、评价所实施项目中存在的问题，认真查找薄弱环节，制定整改措施。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第十五条</w:t>
      </w:r>
      <w:r>
        <w:rPr>
          <w:rFonts w:hint="eastAsia" w:ascii="方正仿宋_GBK" w:hAnsi="方正仿宋_GBK" w:eastAsia="方正仿宋_GBK" w:cs="方正仿宋_GBK"/>
          <w:sz w:val="32"/>
          <w:szCs w:val="32"/>
        </w:rPr>
        <w:t>　区财政局会同有关部门根据审定的资金使用方案、任务完成计划开展绩效考核，逐步建立以绩效评价结果为导向的涉农资金“大专项”和任务清单设置机制及资金分配机制。重点围绕组织协调、资金统筹整合、规划方案编制、项目完成情况等方面，健全完善科学全面的绩效评价指标体系，逐步由单项任务绩效考核向行业综合绩效考核转变。绩效评价结果作为下一年度涉农资金安排的重要依据。</w:t>
      </w:r>
    </w:p>
    <w:p>
      <w:pPr>
        <w:keepNext w:val="0"/>
        <w:keepLines w:val="0"/>
        <w:pageBreakBefore w:val="0"/>
        <w:widowControl w:val="0"/>
        <w:kinsoku/>
        <w:wordWrap/>
        <w:overflowPunct/>
        <w:topLinePunct w:val="0"/>
        <w:autoSpaceDE/>
        <w:autoSpaceDN/>
        <w:bidi w:val="0"/>
        <w:adjustRightInd/>
        <w:snapToGrid/>
        <w:spacing w:line="600" w:lineRule="exact"/>
        <w:ind w:firstLine="2720" w:firstLineChars="850"/>
        <w:textAlignment w:val="auto"/>
        <w:rPr>
          <w:rFonts w:hint="eastAsia" w:ascii="方正黑体_GBK" w:hAnsi="方正黑体_GBK" w:eastAsia="方正黑体_GBK" w:cs="方正黑体_GBK"/>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2720" w:firstLineChars="850"/>
        <w:textAlignment w:val="auto"/>
        <w:rPr>
          <w:rFonts w:hint="eastAsia" w:ascii="方正仿宋_GBK" w:hAnsi="方正仿宋_GBK" w:eastAsia="方正仿宋_GBK" w:cs="方正仿宋_GBK"/>
          <w:bCs/>
          <w:sz w:val="32"/>
          <w:szCs w:val="32"/>
        </w:rPr>
      </w:pPr>
      <w:r>
        <w:rPr>
          <w:rFonts w:hint="eastAsia" w:ascii="方正黑体_GBK" w:hAnsi="方正黑体_GBK" w:eastAsia="方正黑体_GBK" w:cs="方正黑体_GBK"/>
          <w:bCs/>
          <w:sz w:val="32"/>
          <w:szCs w:val="32"/>
        </w:rPr>
        <w:t>第七章　监督管理</w:t>
      </w:r>
    </w:p>
    <w:p>
      <w:pPr>
        <w:keepNext w:val="0"/>
        <w:keepLines w:val="0"/>
        <w:pageBreakBefore w:val="0"/>
        <w:widowControl w:val="0"/>
        <w:kinsoku/>
        <w:wordWrap/>
        <w:overflowPunct/>
        <w:topLinePunct w:val="0"/>
        <w:autoSpaceDE/>
        <w:autoSpaceDN/>
        <w:bidi w:val="0"/>
        <w:adjustRightInd/>
        <w:snapToGrid/>
        <w:spacing w:line="600" w:lineRule="exact"/>
        <w:ind w:right="-58"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第十六条</w:t>
      </w:r>
      <w:r>
        <w:rPr>
          <w:rFonts w:hint="eastAsia" w:ascii="方正仿宋_GBK" w:hAnsi="方正仿宋_GBK" w:eastAsia="方正仿宋_GBK" w:cs="方正仿宋_GBK"/>
          <w:sz w:val="32"/>
          <w:szCs w:val="32"/>
        </w:rPr>
        <w:t>　建立完善权责明确、有效制衡、齐抓共管的监管格局，防止借统筹整合名义挪用涉农资金。区财政局加强统筹整合涉农资金使用绩效考核。行业主管部门加强对项目实施情况和资金使用情况的追踪问效和管理检查。区审计局加强对财政资金统筹使用的监督检查，着力查处违规申报、违规使用财政资金等行为。纪检监察机关按照有关规定加强监督执纪问责。</w:t>
      </w:r>
    </w:p>
    <w:p>
      <w:pPr>
        <w:keepNext w:val="0"/>
        <w:keepLines w:val="0"/>
        <w:pageBreakBefore w:val="0"/>
        <w:widowControl w:val="0"/>
        <w:kinsoku/>
        <w:wordWrap/>
        <w:overflowPunct/>
        <w:topLinePunct w:val="0"/>
        <w:autoSpaceDE/>
        <w:autoSpaceDN/>
        <w:bidi w:val="0"/>
        <w:adjustRightInd/>
        <w:snapToGrid/>
        <w:spacing w:line="600" w:lineRule="exact"/>
        <w:ind w:right="-58"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第十七条</w:t>
      </w:r>
      <w:r>
        <w:rPr>
          <w:rFonts w:hint="eastAsia" w:ascii="方正仿宋_GBK" w:hAnsi="方正仿宋_GBK" w:eastAsia="方正仿宋_GBK" w:cs="方正仿宋_GBK"/>
          <w:sz w:val="32"/>
          <w:szCs w:val="32"/>
        </w:rPr>
        <w:t xml:space="preserve">  全面推进信息公开，健全公告公示制度，区财政局在政府门户网站及时公开涉农资金项目和资金安排等情况，行业主管部门应将涉农资金政策文件、管理制度、扶持范围、分配结果等信息及时向社会公示公开。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　附则</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bCs/>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pP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lang w:eastAsia="zh-CN"/>
        </w:rPr>
        <w:t>第十八条</w:t>
      </w:r>
      <w:r>
        <w:rPr>
          <w:rFonts w:hint="eastAsia" w:ascii="方正仿宋_GBK" w:hAnsi="方正仿宋_GBK" w:eastAsia="方正仿宋_GBK" w:cs="方正仿宋_GBK"/>
          <w:sz w:val="32"/>
          <w:szCs w:val="32"/>
        </w:rPr>
        <w:t xml:space="preserve">  本办法从印发之日起</w:t>
      </w:r>
      <w:r>
        <w:rPr>
          <w:rFonts w:hint="eastAsia" w:ascii="方正仿宋_GBK" w:hAnsi="方正仿宋_GBK" w:eastAsia="方正仿宋_GBK" w:cs="方正仿宋_GBK"/>
          <w:sz w:val="32"/>
          <w:szCs w:val="32"/>
          <w:lang w:eastAsia="zh-CN"/>
        </w:rPr>
        <w:t>施行</w:t>
      </w:r>
      <w:r>
        <w:rPr>
          <w:rFonts w:hint="eastAsia" w:ascii="方正仿宋_GBK" w:hAnsi="方正仿宋_GBK" w:eastAsia="方正仿宋_GBK" w:cs="方正仿宋_GBK"/>
          <w:sz w:val="32"/>
          <w:szCs w:val="32"/>
        </w:rPr>
        <w:t>。</w:t>
      </w: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rFonts w:ascii="Calibri" w:hAnsi="Calibri" w:eastAsia="宋体" w:cs="黑体"/>
        <w:kern w:val="2"/>
        <w:sz w:val="32"/>
        <w:szCs w:val="24"/>
        <w:lang w:val="en-US" w:eastAsia="zh-CN" w:bidi="ar-SA"/>
      </w:rPr>
      <w:pict>
        <v:rect id="文本框 8" o:spid="_x0000_s4098" o:spt="1" style="position:absolute;left:0pt;margin-top:0pt;height:144pt;width:144pt;mso-position-horizontal:outside;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rect>
      </w:pict>
    </w:r>
  </w:p>
  <w:p>
    <w:pPr>
      <w:pStyle w:val="7"/>
      <w:wordWrap w:val="0"/>
      <w:ind w:left="1067" w:leftChars="508" w:firstLine="10115" w:firstLineChars="3161"/>
      <w:jc w:val="right"/>
      <w:rPr>
        <w:rFonts w:hint="eastAsia" w:ascii="宋体" w:hAnsi="宋体" w:eastAsia="宋体" w:cs="宋体"/>
        <w:b/>
        <w:bCs/>
        <w:color w:val="005192"/>
        <w:sz w:val="28"/>
        <w:szCs w:val="44"/>
        <w:lang w:eastAsia="zh-CN"/>
      </w:rPr>
    </w:pPr>
    <w:r>
      <w:rPr>
        <w:color w:val="FAFAFA"/>
        <w:sz w:val="32"/>
      </w:rPr>
      <w:pict>
        <v:line id="直接连接符 5" o:spid="_x0000_s4100" o:spt="20" style="position:absolute;left:0pt;margin-left:0pt;margin-top:5.85pt;height:0.15pt;width:442.25pt;z-index:251661312;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v8kdX0gAAAAYBAAAPAAAAAAAAAAEAIAAAACIAAABkcnMvZG93bnJldi54bWxQSwEC&#10;FAAUAAAACACHTuJAiUkAAcEBAABQAwAADgAAAAAAAAABACAAAAAhAQAAZHJzL2Uyb0RvYy54bWxQ&#10;SwUGAAAAAAYABgBZAQAAVAUAAAAA&#10;">
          <v:path arrowok="t"/>
          <v:fill on="f" focussize="0,0"/>
          <v:stroke weight="1.75pt" color="#005192" joinstyle="round"/>
          <v:imagedata o:title=""/>
          <o:lock v:ext="edit" aspectratio="f"/>
        </v:line>
      </w:pict>
    </w:r>
    <w:r>
      <w:rPr>
        <w:rFonts w:hint="eastAsia"/>
        <w:color w:val="FAFAFA"/>
        <w:sz w:val="32"/>
        <w:lang w:val="en-US" w:eastAsia="zh-CN"/>
      </w:rPr>
      <w:t xml:space="preserve">                </w:t>
    </w:r>
    <w:r>
      <w:rPr>
        <w:rFonts w:hint="eastAsia" w:ascii="宋体" w:hAnsi="宋体" w:cs="宋体"/>
        <w:b/>
        <w:bCs/>
        <w:color w:val="005192"/>
        <w:sz w:val="28"/>
        <w:szCs w:val="44"/>
        <w:lang w:eastAsia="zh-CN"/>
      </w:rPr>
      <w:t>重庆市长寿区人民政府办公室</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方正仿宋_GBK" w:hAnsi="方正仿宋_GBK" w:eastAsia="方正仿宋_GBK" w:cs="方正仿宋_GBK"/>
        <w:b/>
        <w:bCs/>
        <w:color w:val="000000"/>
        <w:sz w:val="32"/>
      </w:rPr>
    </w:pPr>
    <w:r>
      <w:rPr>
        <w:rFonts w:ascii="方正仿宋_GBK" w:hAnsi="方正仿宋_GBK" w:eastAsia="方正仿宋_GBK" w:cs="方正仿宋_GBK"/>
        <w:b/>
        <w:bCs/>
        <w:color w:val="000000"/>
        <w:kern w:val="2"/>
        <w:sz w:val="32"/>
        <w:szCs w:val="24"/>
        <w:lang w:val="en-US" w:eastAsia="zh-CN" w:bidi="ar-SA"/>
      </w:rPr>
      <w:pict>
        <v:line id="直接连接符 4" o:spid="_x0000_s4097" o:spt="20" style="position:absolute;left:0pt;margin-left:-0.05pt;margin-top:54.35pt;height:0.05pt;width:442.55pt;z-index:251659264;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p>
  <w:p>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kern w:val="2"/>
        <w:sz w:val="32"/>
        <w:szCs w:val="24"/>
        <w:lang w:val="en-US" w:eastAsia="zh-CN" w:bidi="ar-SA"/>
      </w:rPr>
      <w:pict>
        <v:shape id="_x0000_i1025" o:spt="75" type="#_x0000_t75" style="height:24.3pt;width:24.3pt;" fillcolor="#FFFFFF" filled="f" o:preferrelative="t" stroked="f" coordsize="21600,21600">
          <v:path/>
          <v:fill on="f" color2="#FFFFFF" focussize="0,0"/>
          <v:stroke on="f"/>
          <v:imagedata r:id="rId1" gain="65536f" blacklevel="0f" gamma="0" o:title=""/>
          <o:lock v:ext="edit" position="f" selection="f" grouping="f" rotation="f" cropping="f" text="f" aspectratio="t"/>
          <w10:wrap type="none"/>
          <w10:anchorlock/>
        </v:shape>
      </w:pict>
    </w:r>
    <w:r>
      <w:rPr>
        <w:rFonts w:hint="eastAsia" w:ascii="宋体" w:hAnsi="宋体" w:eastAsia="宋体" w:cs="宋体"/>
        <w:b/>
        <w:bCs/>
        <w:color w:val="005192"/>
        <w:sz w:val="32"/>
      </w:rPr>
      <w:t>重庆市长寿区人民政府行政</w:t>
    </w:r>
    <w:r>
      <w:rPr>
        <w:rFonts w:hint="eastAsia" w:ascii="宋体" w:hAnsi="宋体" w:eastAsia="宋体" w:cs="宋体"/>
        <w:b/>
        <w:bCs/>
        <w:color w:val="005192"/>
        <w:sz w:val="32"/>
        <w:szCs w:val="32"/>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A301CC"/>
    <w:multiLevelType w:val="singleLevel"/>
    <w:tmpl w:val="62A301CC"/>
    <w:lvl w:ilvl="0" w:tentative="0">
      <w:start w:val="8"/>
      <w:numFmt w:val="chineseCounting"/>
      <w:suff w:val="nothing"/>
      <w:lvlText w:val="第%1章"/>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zk2ODgzMTA5ZGQ3MzliZDFiYzc1N2JmYzc1ZTU0YjEifQ=="/>
  </w:docVars>
  <w:rsids>
    <w:rsidRoot w:val="00172A27"/>
    <w:rsid w:val="00172A27"/>
    <w:rsid w:val="002C476B"/>
    <w:rsid w:val="004557D7"/>
    <w:rsid w:val="00644AEE"/>
    <w:rsid w:val="00666F71"/>
    <w:rsid w:val="00912C49"/>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58649B2"/>
    <w:rsid w:val="36FB1DF0"/>
    <w:rsid w:val="395347B5"/>
    <w:rsid w:val="39A232A0"/>
    <w:rsid w:val="39E745AA"/>
    <w:rsid w:val="3B4B2DC4"/>
    <w:rsid w:val="3B5A6BBB"/>
    <w:rsid w:val="3B7F3B41"/>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44A0048"/>
    <w:rsid w:val="55E064E0"/>
    <w:rsid w:val="56A62B2B"/>
    <w:rsid w:val="572C6D10"/>
    <w:rsid w:val="5B8D42E2"/>
    <w:rsid w:val="5DC34279"/>
    <w:rsid w:val="5FC40737"/>
    <w:rsid w:val="5FCD688E"/>
    <w:rsid w:val="5FF9BDAA"/>
    <w:rsid w:val="608816D1"/>
    <w:rsid w:val="60EF4E7F"/>
    <w:rsid w:val="62857768"/>
    <w:rsid w:val="648B0A32"/>
    <w:rsid w:val="665233C1"/>
    <w:rsid w:val="69AC0D42"/>
    <w:rsid w:val="6ACE50FF"/>
    <w:rsid w:val="6AD9688B"/>
    <w:rsid w:val="6D0E3F22"/>
    <w:rsid w:val="70807DBC"/>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14"/>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character" w:customStyle="1" w:styleId="13">
    <w:name w:val="ca-7"/>
    <w:qFormat/>
    <w:uiPriority w:val="0"/>
  </w:style>
  <w:style w:type="character" w:customStyle="1" w:styleId="14">
    <w:name w:val="批注框文本 Char"/>
    <w:basedOn w:val="10"/>
    <w:link w:val="5"/>
    <w:qFormat/>
    <w:uiPriority w:val="0"/>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3819</Words>
  <Characters>3895</Characters>
  <Lines>62</Lines>
  <Paragraphs>17</Paragraphs>
  <TotalTime>1</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2023-10-26T08:42:42Z</dcterms:modified>
  <dc:title>重庆市长寿区人民政府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AD37E988C0804E5EB90F467BD23F3D7B</vt:lpwstr>
  </property>
</Properties>
</file>