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both"/>
        <w:rPr>
          <w:rFonts w:ascii="微软雅黑" w:hAnsi="微软雅黑" w:eastAsia="微软雅黑" w:cs="微软雅黑"/>
          <w:i w:val="0"/>
          <w:iCs w:val="0"/>
          <w:caps w:val="0"/>
          <w:color w:val="333333"/>
          <w:spacing w:val="0"/>
          <w:sz w:val="24"/>
          <w:szCs w:val="24"/>
        </w:rPr>
      </w:pPr>
      <w:r>
        <w:rPr>
          <w:rFonts w:ascii="方正仿宋_GBK" w:hAnsi="方正仿宋_GBK" w:eastAsia="方正仿宋_GBK" w:cs="方正仿宋_GBK"/>
          <w:i w:val="0"/>
          <w:iCs w:val="0"/>
          <w:caps w:val="0"/>
          <w:color w:val="333333"/>
          <w:spacing w:val="0"/>
          <w:sz w:val="24"/>
          <w:szCs w:val="24"/>
          <w:bdr w:val="none" w:color="auto" w:sz="0" w:space="0"/>
          <w:shd w:val="clear" w:fill="FFFFFF"/>
        </w:rPr>
        <w:t>各村（社区），各科室：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24"/>
          <w:szCs w:val="24"/>
          <w:bdr w:val="none" w:color="auto" w:sz="0" w:space="0"/>
          <w:shd w:val="clear" w:fill="FFFFFF"/>
        </w:rPr>
        <w:t>2023年8月3日，经街道党工委会议审定，对《关于印发&lt;晏家街道2022年农村“厕所革命”工作方案&gt;的通知》（晏家办发〔2022〕61号）等共10个行政规范性文件予以废止，本决定自公布之日起施行。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24"/>
          <w:szCs w:val="24"/>
          <w:bdr w:val="none" w:color="auto" w:sz="0" w:space="0"/>
          <w:shd w:val="clear" w:fill="FFFFFF"/>
        </w:rPr>
        <w:t>附件：废止的行政规范性文件目录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jc w:val="both"/>
        <w:rPr>
          <w:rFonts w:hint="eastAsia" w:ascii="微软雅黑" w:hAnsi="微软雅黑" w:eastAsia="微软雅黑" w:cs="微软雅黑"/>
          <w:i w:val="0"/>
          <w:iCs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24"/>
          <w:szCs w:val="24"/>
          <w:bdr w:val="none" w:color="auto" w:sz="0" w:space="0"/>
          <w:shd w:val="clear" w:fill="FFFFFF"/>
        </w:rPr>
        <w:t>                                                                   重庆市长寿区晏家街道办事处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24"/>
          <w:szCs w:val="24"/>
          <w:bdr w:val="none" w:color="auto" w:sz="0" w:space="0"/>
          <w:shd w:val="clear" w:fill="FFFFFF"/>
        </w:rPr>
        <w:t>                                                                          2023年8月22日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方正仿宋_GBK" w:hAnsi="方正仿宋_GBK" w:eastAsia="方正仿宋_GBK" w:cs="方正仿宋_GBK"/>
          <w:i w:val="0"/>
          <w:iCs w:val="0"/>
          <w:caps w:val="0"/>
          <w:color w:val="333333"/>
          <w:spacing w:val="0"/>
          <w:sz w:val="24"/>
          <w:szCs w:val="24"/>
          <w:bdr w:val="none" w:color="auto" w:sz="0" w:space="0"/>
          <w:shd w:val="clear" w:fill="FFFFFF"/>
        </w:rPr>
        <w:t>（此件公开发布）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hint="eastAsia" w:ascii="微软雅黑" w:hAnsi="微软雅黑" w:eastAsia="微软雅黑" w:cs="微软雅黑"/>
          <w:i w:val="0"/>
          <w:iCs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0"/>
        <w:jc w:val="center"/>
        <w:rPr>
          <w:rFonts w:hint="eastAsia" w:ascii="微软雅黑" w:hAnsi="微软雅黑" w:eastAsia="微软雅黑" w:cs="微软雅黑"/>
          <w:i w:val="0"/>
          <w:iCs w:val="0"/>
          <w:caps w:val="0"/>
          <w:color w:val="333333"/>
          <w:spacing w:val="0"/>
          <w:sz w:val="24"/>
          <w:szCs w:val="24"/>
        </w:rPr>
      </w:pPr>
      <w:r>
        <w:rPr>
          <w:rFonts w:ascii="方正黑体_GBK" w:hAnsi="方正黑体_GBK" w:eastAsia="方正黑体_GBK" w:cs="方正黑体_GBK"/>
          <w:i w:val="0"/>
          <w:iCs w:val="0"/>
          <w:caps w:val="0"/>
          <w:color w:val="333333"/>
          <w:spacing w:val="0"/>
          <w:sz w:val="24"/>
          <w:szCs w:val="24"/>
          <w:bdr w:val="none" w:color="auto" w:sz="0" w:space="0"/>
          <w:shd w:val="clear" w:fill="FFFFFF"/>
        </w:rPr>
        <w:t>废止的行政规范性文件目录</w:t>
      </w:r>
    </w:p>
    <w:tbl>
      <w:tblPr>
        <w:tblW w:w="0" w:type="auto"/>
        <w:tblInd w:w="0" w:type="dxa"/>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390"/>
        <w:gridCol w:w="2387"/>
        <w:gridCol w:w="5186"/>
        <w:gridCol w:w="493"/>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c>
          <w:tcPr>
            <w:tcW w:w="195"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default" w:ascii="方正黑体_GBK" w:hAnsi="方正黑体_GBK" w:eastAsia="方正黑体_GBK" w:cs="方正黑体_GBK"/>
                <w:color w:val="333333"/>
                <w:sz w:val="24"/>
                <w:szCs w:val="24"/>
                <w:bdr w:val="none" w:color="auto" w:sz="0" w:space="0"/>
              </w:rPr>
              <w:t>序号</w:t>
            </w:r>
          </w:p>
        </w:tc>
        <w:tc>
          <w:tcPr>
            <w:tcW w:w="2835"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default" w:ascii="方正黑体_GBK" w:hAnsi="方正黑体_GBK" w:eastAsia="方正黑体_GBK" w:cs="方正黑体_GBK"/>
                <w:color w:val="333333"/>
                <w:sz w:val="24"/>
                <w:szCs w:val="24"/>
                <w:bdr w:val="none" w:color="auto" w:sz="0" w:space="0"/>
              </w:rPr>
              <w:t>文号</w:t>
            </w:r>
            <w:bookmarkStart w:id="0" w:name="_GoBack"/>
            <w:bookmarkEnd w:id="0"/>
          </w:p>
        </w:tc>
        <w:tc>
          <w:tcPr>
            <w:tcW w:w="7260"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default" w:ascii="方正黑体_GBK" w:hAnsi="方正黑体_GBK" w:eastAsia="方正黑体_GBK" w:cs="方正黑体_GBK"/>
                <w:color w:val="333333"/>
                <w:sz w:val="24"/>
                <w:szCs w:val="24"/>
                <w:bdr w:val="none" w:color="auto" w:sz="0" w:space="0"/>
              </w:rPr>
              <w:t>文件名</w:t>
            </w:r>
          </w:p>
        </w:tc>
        <w:tc>
          <w:tcPr>
            <w:tcW w:w="420"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default" w:ascii="方正黑体_GBK" w:hAnsi="方正黑体_GBK" w:eastAsia="方正黑体_GBK" w:cs="方正黑体_GBK"/>
                <w:color w:val="333333"/>
                <w:sz w:val="24"/>
                <w:szCs w:val="24"/>
                <w:bdr w:val="none" w:color="auto" w:sz="0" w:space="0"/>
              </w:rPr>
              <w:t>备注</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c>
          <w:tcPr>
            <w:tcW w:w="75"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1</w:t>
            </w:r>
          </w:p>
        </w:tc>
        <w:tc>
          <w:tcPr>
            <w:tcW w:w="2970"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晏家办发〔2022〕61号</w:t>
            </w:r>
          </w:p>
        </w:tc>
        <w:tc>
          <w:tcPr>
            <w:tcW w:w="7260"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关于印发《晏家街道2022年农村“厕所革命”工作方案》的通知</w:t>
            </w:r>
          </w:p>
        </w:tc>
        <w:tc>
          <w:tcPr>
            <w:tcW w:w="540"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废止</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c>
          <w:tcPr>
            <w:tcW w:w="75"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2</w:t>
            </w:r>
          </w:p>
        </w:tc>
        <w:tc>
          <w:tcPr>
            <w:tcW w:w="2970"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晏家办发〔2020〕106号</w:t>
            </w:r>
          </w:p>
        </w:tc>
        <w:tc>
          <w:tcPr>
            <w:tcW w:w="7260"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关于印发《晏家街道开展违法违规私建“住宅式”墓地等专项整治工作方案》的通知</w:t>
            </w:r>
          </w:p>
        </w:tc>
        <w:tc>
          <w:tcPr>
            <w:tcW w:w="540"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废止</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c>
          <w:tcPr>
            <w:tcW w:w="75"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3</w:t>
            </w:r>
          </w:p>
        </w:tc>
        <w:tc>
          <w:tcPr>
            <w:tcW w:w="2970"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晏家办发〔2018〕71号</w:t>
            </w:r>
          </w:p>
        </w:tc>
        <w:tc>
          <w:tcPr>
            <w:tcW w:w="7260"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关于印发《进一步加强畜禽养殖环境保护工作实施方案》的通知</w:t>
            </w:r>
          </w:p>
        </w:tc>
        <w:tc>
          <w:tcPr>
            <w:tcW w:w="540"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废止</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c>
          <w:tcPr>
            <w:tcW w:w="75"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4</w:t>
            </w:r>
          </w:p>
        </w:tc>
        <w:tc>
          <w:tcPr>
            <w:tcW w:w="2970"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晏家发〔2017〕163号</w:t>
            </w:r>
          </w:p>
        </w:tc>
        <w:tc>
          <w:tcPr>
            <w:tcW w:w="7260"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关于印发《危险化学品安全综合治理实施办法》的通知</w:t>
            </w:r>
          </w:p>
        </w:tc>
        <w:tc>
          <w:tcPr>
            <w:tcW w:w="540"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废止</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c>
          <w:tcPr>
            <w:tcW w:w="75"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5</w:t>
            </w:r>
          </w:p>
        </w:tc>
        <w:tc>
          <w:tcPr>
            <w:tcW w:w="2970"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晏家发〔2017〕185号</w:t>
            </w:r>
          </w:p>
        </w:tc>
        <w:tc>
          <w:tcPr>
            <w:tcW w:w="7260"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关于印发《重庆市长寿区晏家街道在建违法建筑有奖举报部分》的通知</w:t>
            </w:r>
          </w:p>
        </w:tc>
        <w:tc>
          <w:tcPr>
            <w:tcW w:w="540"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废止</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c>
          <w:tcPr>
            <w:tcW w:w="75"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6</w:t>
            </w:r>
          </w:p>
        </w:tc>
        <w:tc>
          <w:tcPr>
            <w:tcW w:w="2970"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晏家发〔2017〕214号</w:t>
            </w:r>
          </w:p>
        </w:tc>
        <w:tc>
          <w:tcPr>
            <w:tcW w:w="7260"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关于印发《晏家街道农村生活垃圾治理工作实施方案》的通知</w:t>
            </w:r>
          </w:p>
        </w:tc>
        <w:tc>
          <w:tcPr>
            <w:tcW w:w="540"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废止</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c>
          <w:tcPr>
            <w:tcW w:w="75"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7</w:t>
            </w:r>
          </w:p>
        </w:tc>
        <w:tc>
          <w:tcPr>
            <w:tcW w:w="2970"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晏家办发〔2017〕225号</w:t>
            </w:r>
          </w:p>
        </w:tc>
        <w:tc>
          <w:tcPr>
            <w:tcW w:w="7260"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关于开展变型拖拉机专项整治工作的通知</w:t>
            </w:r>
          </w:p>
        </w:tc>
        <w:tc>
          <w:tcPr>
            <w:tcW w:w="540"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废止</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c>
          <w:tcPr>
            <w:tcW w:w="75"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8</w:t>
            </w:r>
          </w:p>
        </w:tc>
        <w:tc>
          <w:tcPr>
            <w:tcW w:w="2940"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晏街发〔2016〕86号</w:t>
            </w:r>
          </w:p>
        </w:tc>
        <w:tc>
          <w:tcPr>
            <w:tcW w:w="7260"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关于持续开展危险化学品烟花爆竹安全生产打非治违工作的通知</w:t>
            </w:r>
          </w:p>
        </w:tc>
        <w:tc>
          <w:tcPr>
            <w:tcW w:w="540"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废止</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c>
          <w:tcPr>
            <w:tcW w:w="75"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9</w:t>
            </w:r>
          </w:p>
        </w:tc>
        <w:tc>
          <w:tcPr>
            <w:tcW w:w="2940"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晏家发〔2016〕199号</w:t>
            </w:r>
          </w:p>
        </w:tc>
        <w:tc>
          <w:tcPr>
            <w:tcW w:w="7260"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关于印发晏家街道畜禽养殖区域划分及养殖污染控制方案的通知</w:t>
            </w:r>
          </w:p>
        </w:tc>
        <w:tc>
          <w:tcPr>
            <w:tcW w:w="540"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废止</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c>
          <w:tcPr>
            <w:tcW w:w="75"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10</w:t>
            </w:r>
          </w:p>
        </w:tc>
        <w:tc>
          <w:tcPr>
            <w:tcW w:w="2940"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晏街发〔2013〕115号</w:t>
            </w:r>
          </w:p>
        </w:tc>
        <w:tc>
          <w:tcPr>
            <w:tcW w:w="7260"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重庆市长寿区晏家街道办事处关于在全街道开展政策性农业保险试点工作的通知</w:t>
            </w:r>
          </w:p>
        </w:tc>
        <w:tc>
          <w:tcPr>
            <w:tcW w:w="540" w:type="dxa"/>
            <w:tcBorders>
              <w:top w:val="single" w:color="E5E5E5" w:sz="6" w:space="0"/>
              <w:left w:val="single" w:color="E5E5E5" w:sz="6" w:space="0"/>
              <w:bottom w:val="single" w:color="E5E5E5" w:sz="6" w:space="0"/>
              <w:right w:val="single" w:color="E5E5E5" w:sz="6" w:space="0"/>
            </w:tcBorders>
            <w:shd w:val="clear"/>
            <w:tcMar>
              <w:top w:w="75" w:type="dxa"/>
              <w:left w:w="75" w:type="dxa"/>
              <w:bottom w:w="75" w:type="dxa"/>
              <w:right w:w="7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ind w:left="0" w:right="0"/>
            </w:pPr>
            <w:r>
              <w:rPr>
                <w:rFonts w:hint="eastAsia" w:ascii="方正仿宋_GBK" w:hAnsi="方正仿宋_GBK" w:eastAsia="方正仿宋_GBK" w:cs="方正仿宋_GBK"/>
                <w:color w:val="333333"/>
                <w:sz w:val="24"/>
                <w:szCs w:val="24"/>
                <w:bdr w:val="none" w:color="auto" w:sz="0" w:space="0"/>
              </w:rPr>
              <w:t>废止</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仿宋_GBK">
    <w:panose1 w:val="03000509000000000000"/>
    <w:charset w:val="86"/>
    <w:family w:val="auto"/>
    <w:pitch w:val="default"/>
    <w:sig w:usb0="00000001" w:usb1="080E0000" w:usb2="00000000" w:usb3="00000000" w:csb0="00040000" w:csb1="00000000"/>
  </w:font>
  <w:font w:name="方正黑体_GBK">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2ZTJkYmFkNWM4OWFiN2E2YWU2OGY2MDFhNTY2NDEifQ=="/>
  </w:docVars>
  <w:rsids>
    <w:rsidRoot w:val="658E37FD"/>
    <w:rsid w:val="658E37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2024-01-25T01:57:00Z</dcterms:created>
  <dc:creator>Administrator</dc:creator>
  <cp:lastModifiedBy>Administrator</cp:lastModifiedBy>
  <dcterms:modified xsi:type="dcterms:W3CDTF">2024-01-25T01:57:34Z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5BC4E6B6CF4D4003A35454F547217F14_11</vt:lpwstr>
  </property>
</Properties>
</file>