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2023</w:t>
      </w:r>
      <w:r>
        <w:rPr>
          <w:rFonts w:hint="eastAsia" w:eastAsia="方正仿宋_GBK" w:cs="方正仿宋_GBK"/>
          <w:sz w:val="32"/>
          <w:szCs w:val="32"/>
          <w:lang w:val="en-US" w:eastAsia="zh-CN"/>
        </w:rPr>
        <w:t>年全区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实现地区生产总值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956.7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亿元，按可比价计算，同比增长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7.1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农业畜牧业生产平稳。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实现第一产业增加值66.6亿元，同比增长4.5%。农业产量稳步提升，全年粮食、蔬菜、园林水果产量分别增长1.9%、4.0%、10.5%。畜类生产总体平稳，全年生猪出栏、禽出栏、禽蛋产量分别增长3.7%、6.1%、8.8%。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二产较快增长。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实现第二产业增加值585.1亿元，同比增长7.9%。其中，建筑业增加值增长9.2%，工业增加值增长7.7%。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服务业发展平稳向上。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实现第三产业增加值305.0亿元，同比增长6.3%。重点行业保持较快增长，交通运输仓储和邮政业、批发零售业、住宿餐饮增加值分别增长7.</w:t>
      </w:r>
      <w:bookmarkStart w:id="0" w:name="_GoBack"/>
      <w:bookmarkEnd w:id="0"/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6%、8.2%、10.9%。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投资保持高位，消费稳步恢复。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全年固定资产投资增长11.5%。其中，新兴领域投入加大，高技术产业投资同比增长137.9%。全年实现社会消费品零售总额338.7亿元，同比增长9.2%，社零增速四个季度逐季走高，居民消费逐季恢复。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超粗黑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FD4C86"/>
    <w:multiLevelType w:val="singleLevel"/>
    <w:tmpl w:val="DEFD4C86"/>
    <w:lvl w:ilvl="0" w:tentative="0">
      <w:start w:val="1"/>
      <w:numFmt w:val="chineseCounting"/>
      <w:suff w:val="nothing"/>
      <w:lvlText w:val="%1、"/>
      <w:lvlJc w:val="left"/>
      <w:rPr>
        <w:rFonts w:hint="eastAsia" w:ascii="方正黑体_GBK" w:hAnsi="方正黑体_GBK" w:eastAsia="方正黑体_GBK" w:cs="方正黑体_GBK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OWFjYTg5ZTdiNTU4YThjYzViYTg3NTM3ZTY1NmIifQ=="/>
  </w:docVars>
  <w:rsids>
    <w:rsidRoot w:val="00000000"/>
    <w:rsid w:val="02975E00"/>
    <w:rsid w:val="09724CAE"/>
    <w:rsid w:val="0C9E0034"/>
    <w:rsid w:val="13183C6D"/>
    <w:rsid w:val="18E947EB"/>
    <w:rsid w:val="21D56CBC"/>
    <w:rsid w:val="3906382C"/>
    <w:rsid w:val="3CB31069"/>
    <w:rsid w:val="45220687"/>
    <w:rsid w:val="5A834381"/>
    <w:rsid w:val="5D2F5570"/>
    <w:rsid w:val="674C4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2024-01-24T01:47:57Z</dcterms:created>
  <dc:creator>CY</dc:creator>
  <cp:lastModifiedBy>CY</cp:lastModifiedBy>
  <cp:lastPrinted>2024-01-24T02:32:57Z</cp:lastPrinted>
  <dcterms:modified xsi:type="dcterms:W3CDTF">2024-01-24T02:33:52Z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12546BDC63E2415F8548F823DD6FAE61_12</vt:lpwstr>
  </property>
</Properties>
</file>