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重庆市长寿区生态环境局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eastAsia="方正小标宋_GBK"/>
          <w:sz w:val="44"/>
          <w:szCs w:val="44"/>
        </w:rPr>
      </w:pPr>
      <w:r>
        <w:rPr>
          <w:rFonts w:hint="eastAsia" w:ascii="方正小标宋_GBK" w:eastAsia="方正小标宋_GBK"/>
          <w:spacing w:val="55"/>
          <w:kern w:val="0"/>
          <w:sz w:val="44"/>
          <w:szCs w:val="44"/>
          <w:fitText w:val="4840" w:id="43152903"/>
        </w:rPr>
        <w:t>重庆市长寿区财政</w:t>
      </w:r>
      <w:r>
        <w:rPr>
          <w:rFonts w:hint="eastAsia" w:ascii="方正小标宋_GBK" w:eastAsia="方正小标宋_GBK"/>
          <w:spacing w:val="0"/>
          <w:kern w:val="0"/>
          <w:sz w:val="44"/>
          <w:szCs w:val="44"/>
          <w:fitText w:val="4840" w:id="43152903"/>
        </w:rPr>
        <w:t>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关于全面加强大气污染防治专项资金项目</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rPr>
      </w:pPr>
      <w:r>
        <w:rPr>
          <w:rFonts w:hint="eastAsia" w:ascii="方正小标宋_GBK" w:eastAsia="方正小标宋_GBK"/>
          <w:sz w:val="44"/>
          <w:szCs w:val="44"/>
        </w:rPr>
        <w:t>管理工作的通知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eastAsia="方正仿宋_GBK"/>
          <w:sz w:val="32"/>
          <w:szCs w:val="32"/>
        </w:rPr>
      </w:pPr>
      <w:r>
        <w:rPr>
          <w:rFonts w:eastAsia="方正仿宋_GBK"/>
          <w:sz w:val="32"/>
          <w:szCs w:val="32"/>
        </w:rPr>
        <w:t>长环发〔</w:t>
      </w:r>
      <w:r>
        <w:rPr>
          <w:rFonts w:hint="default" w:ascii="Times New Roman" w:hAnsi="Times New Roman" w:eastAsia="方正仿宋_GBK" w:cs="Times New Roman"/>
          <w:sz w:val="32"/>
          <w:szCs w:val="32"/>
        </w:rPr>
        <w:t>2023</w:t>
      </w:r>
      <w:r>
        <w:rPr>
          <w:rFonts w:eastAsia="方正仿宋_GBK"/>
          <w:sz w:val="32"/>
          <w:szCs w:val="32"/>
        </w:rPr>
        <w:t>〕</w:t>
      </w:r>
      <w:r>
        <w:rPr>
          <w:rFonts w:hint="default" w:ascii="Times New Roman" w:hAnsi="Times New Roman" w:eastAsia="方正仿宋_GBK" w:cs="Times New Roman"/>
          <w:sz w:val="32"/>
          <w:szCs w:val="32"/>
          <w:lang w:val="en-US" w:eastAsia="zh-CN"/>
        </w:rPr>
        <w:t>20</w:t>
      </w:r>
      <w:r>
        <w:rPr>
          <w:rFonts w:eastAsia="方正仿宋_GBK"/>
          <w:sz w:val="32"/>
          <w:szCs w:val="32"/>
        </w:rPr>
        <w:t>号</w:t>
      </w:r>
    </w:p>
    <w:p>
      <w:pPr>
        <w:pStyle w:val="10"/>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default" w:ascii="方正仿宋_GBK" w:hAnsi="方正仿宋_GBK" w:eastAsia="方正仿宋_GBK" w:cs="方正仿宋_GBK"/>
          <w:b/>
          <w:bCs/>
          <w:sz w:val="32"/>
          <w:szCs w:val="32"/>
          <w:lang w:val="en-US" w:eastAsia="zh-CN"/>
        </w:rPr>
      </w:pPr>
    </w:p>
    <w:p>
      <w:pPr>
        <w:keepNext w:val="0"/>
        <w:keepLines w:val="0"/>
        <w:pageBreakBefore w:val="0"/>
        <w:widowControl w:val="0"/>
        <w:kinsoku/>
        <w:overflowPunct/>
        <w:topLinePunct w:val="0"/>
        <w:autoSpaceDE/>
        <w:autoSpaceDN/>
        <w:bidi w:val="0"/>
        <w:adjustRightInd/>
        <w:snapToGrid/>
        <w:spacing w:line="600" w:lineRule="exact"/>
        <w:textAlignment w:val="auto"/>
        <w:rPr>
          <w:rFonts w:hint="eastAsia" w:eastAsia="方正仿宋_GBK"/>
          <w:sz w:val="32"/>
          <w:szCs w:val="32"/>
        </w:rPr>
      </w:pPr>
      <w:r>
        <w:rPr>
          <w:rFonts w:eastAsia="方正仿宋_GBK"/>
          <w:sz w:val="32"/>
          <w:szCs w:val="32"/>
        </w:rPr>
        <w:t>各有关</w:t>
      </w:r>
      <w:r>
        <w:rPr>
          <w:rFonts w:hint="eastAsia" w:eastAsia="方正仿宋_GBK"/>
          <w:sz w:val="32"/>
          <w:szCs w:val="32"/>
        </w:rPr>
        <w:t>单位</w:t>
      </w:r>
      <w:r>
        <w:rPr>
          <w:rFonts w:eastAsia="方正仿宋_GBK"/>
          <w:sz w:val="32"/>
          <w:szCs w:val="32"/>
        </w:rPr>
        <w:t>：</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32"/>
        </w:rPr>
      </w:pPr>
      <w:r>
        <w:rPr>
          <w:rFonts w:hint="eastAsia" w:eastAsia="方正仿宋_GBK"/>
          <w:sz w:val="32"/>
          <w:szCs w:val="32"/>
        </w:rPr>
        <w:t>为贯彻落实《大气污染防治资金管理办法》（财资环〔</w:t>
      </w:r>
      <w:r>
        <w:rPr>
          <w:rFonts w:hint="default" w:ascii="Times New Roman" w:hAnsi="Times New Roman" w:eastAsia="方正仿宋_GBK" w:cs="Times New Roman"/>
          <w:sz w:val="32"/>
          <w:szCs w:val="32"/>
        </w:rPr>
        <w:t>2022</w:t>
      </w:r>
      <w:r>
        <w:rPr>
          <w:rFonts w:hint="eastAsia" w:eastAsia="方正仿宋_GBK"/>
          <w:sz w:val="32"/>
          <w:szCs w:val="32"/>
        </w:rPr>
        <w:t>〕</w:t>
      </w:r>
      <w:r>
        <w:rPr>
          <w:rFonts w:hint="default" w:ascii="Times New Roman" w:hAnsi="Times New Roman" w:eastAsia="方正仿宋_GBK" w:cs="Times New Roman"/>
          <w:sz w:val="32"/>
          <w:szCs w:val="32"/>
        </w:rPr>
        <w:t>106</w:t>
      </w:r>
      <w:r>
        <w:rPr>
          <w:rFonts w:hint="eastAsia" w:eastAsia="方正仿宋_GBK"/>
          <w:sz w:val="32"/>
          <w:szCs w:val="32"/>
        </w:rPr>
        <w:t>号）、</w:t>
      </w:r>
      <w:r>
        <w:rPr>
          <w:rFonts w:eastAsia="方正仿宋_GBK"/>
          <w:sz w:val="32"/>
          <w:szCs w:val="32"/>
        </w:rPr>
        <w:t>《重庆市中央大气污染防治资金管理办法》（渝财公〔</w:t>
      </w:r>
      <w:r>
        <w:rPr>
          <w:rFonts w:hint="default" w:ascii="Times New Roman" w:hAnsi="Times New Roman" w:eastAsia="方正仿宋_GBK" w:cs="Times New Roman"/>
          <w:sz w:val="32"/>
          <w:szCs w:val="32"/>
        </w:rPr>
        <w:t>2020</w:t>
      </w:r>
      <w:r>
        <w:rPr>
          <w:rFonts w:eastAsia="方正仿宋_GBK"/>
          <w:sz w:val="32"/>
          <w:szCs w:val="32"/>
        </w:rPr>
        <w:t>〕</w:t>
      </w:r>
      <w:r>
        <w:rPr>
          <w:rFonts w:hint="default" w:ascii="Times New Roman" w:hAnsi="Times New Roman" w:eastAsia="方正仿宋_GBK" w:cs="Times New Roman"/>
          <w:sz w:val="32"/>
          <w:szCs w:val="32"/>
        </w:rPr>
        <w:t>28</w:t>
      </w:r>
      <w:r>
        <w:rPr>
          <w:rFonts w:eastAsia="方正仿宋_GBK"/>
          <w:sz w:val="32"/>
          <w:szCs w:val="32"/>
        </w:rPr>
        <w:t>号）</w:t>
      </w:r>
      <w:r>
        <w:rPr>
          <w:rFonts w:hint="eastAsia" w:eastAsia="方正仿宋_GBK"/>
          <w:sz w:val="32"/>
          <w:szCs w:val="32"/>
        </w:rPr>
        <w:t>等相关要求，加强和规范我区大气污染防治专项资金项目管理，提高专项资金使用效益，有效发挥专项资金政策杠杆作用，助力我区深入打好蓝天保卫战，现将有关要求通知如下。</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一、严把专项资金支持方向</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32"/>
        </w:rPr>
      </w:pPr>
      <w:r>
        <w:rPr>
          <w:rFonts w:hint="eastAsia" w:eastAsia="方正仿宋_GBK"/>
          <w:sz w:val="32"/>
          <w:szCs w:val="28"/>
        </w:rPr>
        <w:t>（一）</w:t>
      </w:r>
      <w:r>
        <w:rPr>
          <w:rFonts w:eastAsia="方正仿宋_GBK"/>
          <w:sz w:val="32"/>
          <w:szCs w:val="28"/>
        </w:rPr>
        <w:t>本</w:t>
      </w:r>
      <w:r>
        <w:rPr>
          <w:rFonts w:hint="eastAsia" w:eastAsia="方正仿宋_GBK"/>
          <w:sz w:val="32"/>
          <w:szCs w:val="28"/>
        </w:rPr>
        <w:t>文件</w:t>
      </w:r>
      <w:r>
        <w:rPr>
          <w:rFonts w:eastAsia="方正仿宋_GBK"/>
          <w:sz w:val="32"/>
          <w:szCs w:val="28"/>
        </w:rPr>
        <w:t>所称大气污染防治资金，</w:t>
      </w:r>
      <w:r>
        <w:rPr>
          <w:rFonts w:hint="eastAsia" w:eastAsia="方正仿宋_GBK"/>
          <w:sz w:val="32"/>
          <w:szCs w:val="28"/>
        </w:rPr>
        <w:t>是指</w:t>
      </w:r>
      <w:r>
        <w:rPr>
          <w:rFonts w:eastAsia="方正仿宋_GBK"/>
          <w:sz w:val="32"/>
          <w:szCs w:val="28"/>
        </w:rPr>
        <w:t>由中央财政</w:t>
      </w:r>
      <w:r>
        <w:rPr>
          <w:rFonts w:hint="eastAsia" w:eastAsia="方正仿宋_GBK"/>
          <w:sz w:val="32"/>
          <w:szCs w:val="28"/>
        </w:rPr>
        <w:t>、市级财政</w:t>
      </w:r>
      <w:r>
        <w:rPr>
          <w:rFonts w:eastAsia="方正仿宋_GBK"/>
          <w:sz w:val="32"/>
          <w:szCs w:val="28"/>
        </w:rPr>
        <w:t>设立并分配下达我</w:t>
      </w:r>
      <w:r>
        <w:rPr>
          <w:rFonts w:hint="eastAsia" w:eastAsia="方正仿宋_GBK"/>
          <w:sz w:val="32"/>
          <w:szCs w:val="28"/>
        </w:rPr>
        <w:t>区</w:t>
      </w:r>
      <w:r>
        <w:rPr>
          <w:rFonts w:eastAsia="方正仿宋_GBK"/>
          <w:sz w:val="32"/>
          <w:szCs w:val="28"/>
        </w:rPr>
        <w:t>，用于支持大气污染防治的专项资金</w:t>
      </w:r>
      <w:r>
        <w:rPr>
          <w:rFonts w:hint="eastAsia" w:eastAsia="方正仿宋_GBK"/>
          <w:sz w:val="32"/>
          <w:szCs w:val="32"/>
        </w:rPr>
        <w:t>（以下简称“专项资金”）。</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32"/>
        </w:rPr>
      </w:pPr>
      <w:r>
        <w:rPr>
          <w:rFonts w:hint="eastAsia" w:eastAsia="方正仿宋_GBK"/>
          <w:sz w:val="32"/>
          <w:szCs w:val="28"/>
        </w:rPr>
        <w:t>（二）</w:t>
      </w:r>
      <w:r>
        <w:rPr>
          <w:rFonts w:hint="eastAsia" w:eastAsia="方正仿宋_GBK"/>
          <w:sz w:val="32"/>
          <w:szCs w:val="32"/>
        </w:rPr>
        <w:t>专项资金对纳入中央生态环境资金项目管理系统储备库的项目进行支持。</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eastAsia="方正仿宋_GBK"/>
          <w:sz w:val="32"/>
          <w:szCs w:val="32"/>
        </w:rPr>
        <w:t>（三）</w:t>
      </w:r>
      <w:r>
        <w:rPr>
          <w:rFonts w:eastAsia="方正仿宋_GBK"/>
          <w:sz w:val="32"/>
          <w:szCs w:val="28"/>
        </w:rPr>
        <w:t>专项资金</w:t>
      </w:r>
      <w:r>
        <w:rPr>
          <w:rFonts w:hint="eastAsia" w:eastAsia="方正仿宋_GBK"/>
          <w:sz w:val="32"/>
          <w:szCs w:val="28"/>
        </w:rPr>
        <w:t>支持</w:t>
      </w:r>
      <w:r>
        <w:rPr>
          <w:rFonts w:eastAsia="方正仿宋_GBK"/>
          <w:sz w:val="32"/>
          <w:szCs w:val="28"/>
        </w:rPr>
        <w:t>范围</w:t>
      </w:r>
      <w:r>
        <w:rPr>
          <w:rFonts w:hint="eastAsia" w:eastAsia="方正仿宋_GBK"/>
          <w:sz w:val="32"/>
          <w:szCs w:val="28"/>
        </w:rPr>
        <w:t>为国家最新《中央生态环境资金项目储备库入库指南》和《重庆市中央大气污染防治资金管理办法》明确的入库项目范围及类型，其中：</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eastAsia="方正仿宋_GBK"/>
          <w:sz w:val="32"/>
          <w:szCs w:val="28"/>
        </w:rPr>
        <w:t>工业及燃煤污染治理，主要包括重点行业深度治理、工业炉窑综合整治、重点行业挥发性有机物治理、锅炉“煤改气”“煤改电”或非电行业超低排放改造、燃气锅炉低氮燃烧改造、生物质锅炉“改气”“改电”、重点行业无组织排放治理等；</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eastAsia="方正仿宋_GBK"/>
          <w:sz w:val="32"/>
          <w:szCs w:val="28"/>
        </w:rPr>
        <w:t>移动源污染治理，主要包括柴油货车和非道路移动机械尾气治理、柴油车远程在线监控、非道路移动机械编码登记、船舶污染防治等；</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eastAsia="方正仿宋_GBK"/>
          <w:sz w:val="32"/>
          <w:szCs w:val="28"/>
        </w:rPr>
        <w:t>生活污染治理，主要包括散煤污染治理等；</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eastAsia="方正仿宋_GBK"/>
          <w:sz w:val="32"/>
          <w:szCs w:val="28"/>
        </w:rPr>
        <w:t>大气污染防治能力建设，主要包括空气质量监测能力建设（含交通空气质量监测站建设）、空气质量预报预警及应急能力建设、机动车天地车人一体化监控平台建设（含遥感监测网络和监测平台、柴油车和非道路移动机械远程在线监控平台、加油站油气回收在线监控平台等）、机动车和非道路移动机械环境监督检查能力建设、油品和车用尿素检测能力等；</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eastAsia="方正仿宋_GBK"/>
          <w:sz w:val="32"/>
          <w:szCs w:val="28"/>
        </w:rPr>
        <w:t>其他对大气环境质量改善有突出影响、且符合中央专项资金管理相关规定的事项。</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eastAsia="方正仿宋_GBK"/>
          <w:sz w:val="32"/>
          <w:szCs w:val="28"/>
        </w:rPr>
        <w:t>资金支持范围不包含：已获得中央基建投资等其他中央财政资金支持的项目，国家最新《中央生态环境资金项目储备库入库指南》和《重庆市中央大气污染防治资金管理办法》明确的其他不支持情形；以及对于存在严重环保失信和严重环境违法行为的企业项目、投资总额低于</w:t>
      </w:r>
      <w:r>
        <w:rPr>
          <w:rFonts w:hint="default" w:ascii="Times New Roman" w:hAnsi="Times New Roman" w:eastAsia="方正仿宋_GBK" w:cs="Times New Roman"/>
          <w:sz w:val="32"/>
          <w:szCs w:val="28"/>
        </w:rPr>
        <w:t>200</w:t>
      </w:r>
      <w:r>
        <w:rPr>
          <w:rFonts w:hint="eastAsia" w:eastAsia="方正仿宋_GBK"/>
          <w:sz w:val="32"/>
          <w:szCs w:val="28"/>
        </w:rPr>
        <w:t>万元的项目、成熟度不符合入库要求的项目。</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ascii="方正黑体_GBK" w:hAnsi="方正黑体_GBK" w:eastAsia="方正黑体_GBK" w:cs="方正黑体_GBK"/>
          <w:sz w:val="32"/>
          <w:szCs w:val="28"/>
        </w:rPr>
        <w:t>二、规范专项资金项目申报</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eastAsia="方正仿宋_GBK"/>
          <w:sz w:val="32"/>
          <w:szCs w:val="28"/>
        </w:rPr>
        <w:t>（一）入库申报材料，主要包括项目可研报告或实施方案、项目成熟度证明材料、项目绩效目标申报表（见附件）、近三年无严重环保失信和严重环境违法行为的证明等。其中，项目成熟度证明材料分别指工程类项目的批复或备案文件，能力建设类项目的批复文件，淘汰补贴类项目、点多面广的打包治理项目的有关工作方案；确实无法提供以上材料的项目应当提交可证明其已明确纳入我区大气污染防治计划或重点工作的相关材料。</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eastAsia="方正仿宋_GBK"/>
          <w:sz w:val="32"/>
          <w:szCs w:val="28"/>
        </w:rPr>
      </w:pPr>
      <w:r>
        <w:rPr>
          <w:rFonts w:hint="eastAsia" w:eastAsia="方正仿宋_GBK"/>
          <w:sz w:val="32"/>
          <w:szCs w:val="28"/>
        </w:rPr>
        <w:t>（二）入库申报程序，</w:t>
      </w:r>
      <w:r>
        <w:rPr>
          <w:rFonts w:eastAsia="方正仿宋_GBK"/>
          <w:sz w:val="32"/>
          <w:szCs w:val="28"/>
        </w:rPr>
        <w:t>按照逐级申报入库原则，</w:t>
      </w:r>
      <w:r>
        <w:rPr>
          <w:rFonts w:hint="eastAsia" w:eastAsia="方正仿宋_GBK"/>
          <w:sz w:val="32"/>
          <w:szCs w:val="28"/>
        </w:rPr>
        <w:t>由项目承担单位向区生态环境局提交入库申报材料；</w:t>
      </w:r>
      <w:r>
        <w:rPr>
          <w:rFonts w:eastAsia="方正仿宋_GBK"/>
          <w:sz w:val="32"/>
          <w:szCs w:val="28"/>
        </w:rPr>
        <w:t>区生态环境</w:t>
      </w:r>
      <w:r>
        <w:rPr>
          <w:rFonts w:hint="eastAsia" w:eastAsia="方正仿宋_GBK"/>
          <w:sz w:val="32"/>
          <w:szCs w:val="28"/>
        </w:rPr>
        <w:t>局</w:t>
      </w:r>
      <w:r>
        <w:rPr>
          <w:rFonts w:eastAsia="方正仿宋_GBK"/>
          <w:sz w:val="32"/>
          <w:szCs w:val="28"/>
        </w:rPr>
        <w:t>组织</w:t>
      </w:r>
      <w:r>
        <w:rPr>
          <w:rFonts w:hint="eastAsia" w:eastAsia="方正仿宋_GBK"/>
          <w:sz w:val="32"/>
          <w:szCs w:val="28"/>
        </w:rPr>
        <w:t>对项目材料进行初审，满足入库条件的，通报中央生态环境资金项目管理系统提交上报</w:t>
      </w:r>
      <w:r>
        <w:rPr>
          <w:rFonts w:eastAsia="方正仿宋_GBK"/>
          <w:sz w:val="32"/>
          <w:szCs w:val="28"/>
        </w:rPr>
        <w:t>。市生态环境局组织项目</w:t>
      </w:r>
      <w:r>
        <w:rPr>
          <w:rFonts w:hint="eastAsia" w:eastAsia="方正仿宋_GBK"/>
          <w:sz w:val="32"/>
          <w:szCs w:val="28"/>
        </w:rPr>
        <w:t>复审</w:t>
      </w:r>
      <w:r>
        <w:rPr>
          <w:rFonts w:eastAsia="方正仿宋_GBK"/>
          <w:sz w:val="32"/>
          <w:szCs w:val="28"/>
        </w:rPr>
        <w:t>，符合要求的项目</w:t>
      </w:r>
      <w:r>
        <w:rPr>
          <w:rFonts w:hint="eastAsia" w:eastAsia="方正仿宋_GBK"/>
          <w:sz w:val="32"/>
          <w:szCs w:val="28"/>
        </w:rPr>
        <w:t>向</w:t>
      </w:r>
      <w:r>
        <w:rPr>
          <w:rFonts w:eastAsia="方正仿宋_GBK"/>
          <w:sz w:val="32"/>
          <w:szCs w:val="28"/>
        </w:rPr>
        <w:t>生态环境部申报</w:t>
      </w:r>
      <w:r>
        <w:rPr>
          <w:rFonts w:hint="eastAsia" w:eastAsia="方正仿宋_GBK"/>
          <w:sz w:val="32"/>
          <w:szCs w:val="28"/>
        </w:rPr>
        <w:t>入库，</w:t>
      </w:r>
      <w:r>
        <w:rPr>
          <w:rFonts w:eastAsia="方正仿宋_GBK"/>
          <w:sz w:val="32"/>
          <w:szCs w:val="28"/>
        </w:rPr>
        <w:t>通过审查</w:t>
      </w:r>
      <w:r>
        <w:rPr>
          <w:rFonts w:hint="eastAsia" w:eastAsia="方正仿宋_GBK"/>
          <w:sz w:val="32"/>
          <w:szCs w:val="28"/>
        </w:rPr>
        <w:t>后</w:t>
      </w:r>
      <w:r>
        <w:rPr>
          <w:rFonts w:eastAsia="方正仿宋_GBK"/>
          <w:sz w:val="32"/>
          <w:szCs w:val="28"/>
        </w:rPr>
        <w:t>进入</w:t>
      </w:r>
      <w:r>
        <w:rPr>
          <w:rFonts w:hint="eastAsia" w:eastAsia="方正仿宋_GBK"/>
          <w:sz w:val="32"/>
          <w:szCs w:val="28"/>
        </w:rPr>
        <w:t>中央生态环境资金项目</w:t>
      </w:r>
      <w:r>
        <w:rPr>
          <w:rFonts w:eastAsia="方正仿宋_GBK"/>
          <w:sz w:val="32"/>
          <w:szCs w:val="28"/>
        </w:rPr>
        <w:t>储备库</w:t>
      </w:r>
      <w:r>
        <w:rPr>
          <w:rFonts w:hint="eastAsia" w:eastAsia="方正仿宋_GBK"/>
          <w:sz w:val="32"/>
          <w:szCs w:val="28"/>
        </w:rPr>
        <w:t>。</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pPr>
      <w:r>
        <w:rPr>
          <w:rFonts w:hint="eastAsia" w:eastAsia="方正仿宋_GBK"/>
          <w:sz w:val="32"/>
          <w:szCs w:val="28"/>
        </w:rPr>
        <w:t>（三）</w:t>
      </w:r>
      <w:r>
        <w:rPr>
          <w:rFonts w:eastAsia="方正仿宋_GBK"/>
          <w:sz w:val="32"/>
          <w:szCs w:val="28"/>
        </w:rPr>
        <w:t>对已纳入中央</w:t>
      </w:r>
      <w:r>
        <w:rPr>
          <w:rFonts w:hint="eastAsia" w:eastAsia="方正仿宋_GBK"/>
          <w:sz w:val="32"/>
          <w:szCs w:val="28"/>
        </w:rPr>
        <w:t>资金</w:t>
      </w:r>
      <w:r>
        <w:rPr>
          <w:rFonts w:eastAsia="方正仿宋_GBK"/>
          <w:sz w:val="32"/>
          <w:szCs w:val="28"/>
        </w:rPr>
        <w:t>项目库的项目</w:t>
      </w:r>
      <w:r>
        <w:rPr>
          <w:rFonts w:hint="eastAsia" w:eastAsia="方正仿宋_GBK"/>
          <w:sz w:val="32"/>
          <w:szCs w:val="28"/>
        </w:rPr>
        <w:t>实行</w:t>
      </w:r>
      <w:r>
        <w:rPr>
          <w:rFonts w:eastAsia="方正仿宋_GBK"/>
          <w:sz w:val="32"/>
          <w:szCs w:val="28"/>
        </w:rPr>
        <w:t>动态管理，形成建成一批、退出一批、充实一批的良性循环机制</w:t>
      </w:r>
      <w:r>
        <w:rPr>
          <w:rFonts w:hint="eastAsia" w:eastAsia="方正仿宋_GBK"/>
          <w:sz w:val="32"/>
          <w:szCs w:val="28"/>
        </w:rPr>
        <w:t>，入库申报窗口全年开放，三年未执行的在库项目将自动出库</w:t>
      </w:r>
      <w:r>
        <w:rPr>
          <w:rFonts w:eastAsia="方正仿宋_GBK"/>
          <w:sz w:val="32"/>
          <w:szCs w:val="28"/>
        </w:rPr>
        <w:t>。</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28"/>
        </w:rPr>
      </w:pPr>
      <w:r>
        <w:rPr>
          <w:rFonts w:hint="eastAsia" w:ascii="方正黑体_GBK" w:hAnsi="方正黑体_GBK" w:eastAsia="方正黑体_GBK" w:cs="方正黑体_GBK"/>
          <w:sz w:val="32"/>
          <w:szCs w:val="28"/>
        </w:rPr>
        <w:t>三、加强专项资金项目管理</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eastAsia="方正仿宋_GBK"/>
          <w:sz w:val="32"/>
          <w:szCs w:val="28"/>
        </w:rPr>
        <w:t>（一）</w:t>
      </w:r>
      <w:r>
        <w:rPr>
          <w:rFonts w:eastAsia="方正仿宋_GBK"/>
          <w:sz w:val="32"/>
          <w:szCs w:val="28"/>
        </w:rPr>
        <w:t>对已安排专项资金的项目，</w:t>
      </w:r>
      <w:r>
        <w:rPr>
          <w:rFonts w:hint="eastAsia" w:eastAsia="方正仿宋_GBK"/>
          <w:sz w:val="32"/>
          <w:szCs w:val="28"/>
        </w:rPr>
        <w:t>各项目承担单位应</w:t>
      </w:r>
      <w:r>
        <w:rPr>
          <w:rFonts w:eastAsia="方正仿宋_GBK"/>
          <w:sz w:val="32"/>
          <w:szCs w:val="28"/>
        </w:rPr>
        <w:t>落实主体责任，加快项目建设</w:t>
      </w:r>
      <w:r>
        <w:rPr>
          <w:rFonts w:hint="eastAsia" w:eastAsia="方正仿宋_GBK"/>
          <w:sz w:val="32"/>
          <w:szCs w:val="28"/>
        </w:rPr>
        <w:t>，</w:t>
      </w:r>
      <w:r>
        <w:rPr>
          <w:rFonts w:hint="eastAsia" w:eastAsia="方正仿宋_GBK"/>
          <w:sz w:val="32"/>
          <w:szCs w:val="32"/>
        </w:rPr>
        <w:t>确保在专项资金规定的时限内完成建设</w:t>
      </w:r>
      <w:r>
        <w:rPr>
          <w:rFonts w:hint="eastAsia" w:eastAsia="方正仿宋_GBK"/>
          <w:sz w:val="32"/>
          <w:szCs w:val="28"/>
        </w:rPr>
        <w:t>，并按季度向区生态环境局报送项目进展和资金使用情况。区</w:t>
      </w:r>
      <w:r>
        <w:rPr>
          <w:rFonts w:eastAsia="方正仿宋_GBK"/>
          <w:sz w:val="32"/>
          <w:szCs w:val="28"/>
        </w:rPr>
        <w:t>生态环境局定期调度项目实施进度</w:t>
      </w:r>
      <w:r>
        <w:rPr>
          <w:rFonts w:hint="eastAsia" w:eastAsia="方正仿宋_GBK"/>
          <w:sz w:val="32"/>
          <w:szCs w:val="28"/>
        </w:rPr>
        <w:t>和</w:t>
      </w:r>
      <w:r>
        <w:rPr>
          <w:rFonts w:eastAsia="方正仿宋_GBK"/>
          <w:sz w:val="32"/>
          <w:szCs w:val="28"/>
        </w:rPr>
        <w:t>督导检查</w:t>
      </w:r>
      <w:r>
        <w:rPr>
          <w:rFonts w:hint="eastAsia" w:eastAsia="方正仿宋_GBK"/>
          <w:sz w:val="32"/>
          <w:szCs w:val="28"/>
        </w:rPr>
        <w:t>，项目建设推进不力、进展缓慢的，将被约谈或通报；逾期未完成建设的，将收回专项资金</w:t>
      </w:r>
      <w:r>
        <w:rPr>
          <w:rFonts w:eastAsia="方正仿宋_GBK"/>
          <w:sz w:val="32"/>
          <w:szCs w:val="28"/>
        </w:rPr>
        <w:t>。</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eastAsia="方正仿宋_GBK"/>
          <w:sz w:val="32"/>
          <w:szCs w:val="28"/>
        </w:rPr>
        <w:t>（二）在项目完成后，各项目承担单位应及时开展项目验收工作，并向区生态环境局提交项目验收申请；在收到验收申请后，应当及时组织专家开展审核和验收工作，并根据专家审核意见出具验收通过或者责令整改的正式文件。审核专家应当是本市大气污染防治专家库内专家成员，人数不得少于</w:t>
      </w:r>
      <w:r>
        <w:rPr>
          <w:rFonts w:hint="default" w:ascii="Times New Roman" w:hAnsi="Times New Roman" w:eastAsia="方正仿宋_GBK" w:cs="Times New Roman"/>
          <w:sz w:val="32"/>
          <w:szCs w:val="28"/>
        </w:rPr>
        <w:t>3</w:t>
      </w:r>
      <w:r>
        <w:rPr>
          <w:rFonts w:hint="eastAsia" w:eastAsia="方正仿宋_GBK"/>
          <w:sz w:val="32"/>
          <w:szCs w:val="28"/>
        </w:rPr>
        <w:t>人（原则上包含</w:t>
      </w:r>
      <w:r>
        <w:rPr>
          <w:rFonts w:hint="default" w:ascii="Times New Roman" w:hAnsi="Times New Roman" w:eastAsia="方正仿宋_GBK" w:cs="Times New Roman"/>
          <w:sz w:val="32"/>
          <w:szCs w:val="28"/>
        </w:rPr>
        <w:t>1</w:t>
      </w:r>
      <w:r>
        <w:rPr>
          <w:rFonts w:hint="eastAsia" w:eastAsia="方正仿宋_GBK"/>
          <w:sz w:val="32"/>
          <w:szCs w:val="28"/>
        </w:rPr>
        <w:t>名财务专家）。其中，对补助资金在</w:t>
      </w:r>
      <w:r>
        <w:rPr>
          <w:rFonts w:hint="default" w:ascii="Times New Roman" w:hAnsi="Times New Roman" w:eastAsia="方正仿宋_GBK" w:cs="Times New Roman"/>
          <w:sz w:val="32"/>
          <w:szCs w:val="28"/>
        </w:rPr>
        <w:t>100</w:t>
      </w:r>
      <w:r>
        <w:rPr>
          <w:rFonts w:hint="eastAsia" w:eastAsia="方正仿宋_GBK"/>
          <w:sz w:val="32"/>
          <w:szCs w:val="28"/>
        </w:rPr>
        <w:t>万以下的单个项目由区生态环境局自行组织验收，对补助资金在</w:t>
      </w:r>
      <w:r>
        <w:rPr>
          <w:rFonts w:hint="default" w:ascii="Times New Roman" w:hAnsi="Times New Roman" w:eastAsia="方正仿宋_GBK" w:cs="Times New Roman"/>
          <w:sz w:val="32"/>
          <w:szCs w:val="28"/>
        </w:rPr>
        <w:t>100</w:t>
      </w:r>
      <w:r>
        <w:rPr>
          <w:rFonts w:hint="eastAsia" w:eastAsia="方正仿宋_GBK"/>
          <w:sz w:val="32"/>
          <w:szCs w:val="28"/>
        </w:rPr>
        <w:t>万以及以上的单个项目市生态环境局将参与验收。</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eastAsia="方正仿宋_GBK"/>
          <w:sz w:val="32"/>
          <w:szCs w:val="28"/>
        </w:rPr>
        <w:t>（三）项目验收资料，各项目承担单位应按照我市大气污染防治资金项目验收管理的相关要求提供项目验收材料，除项目立项文件（实施方案、初步设计或者可行性研究报告）及其批复或备案，项目资金补助预算下达文件，合同（技术协议、采购相关材料的凭证）及发票外，根据不同项目类别还应提供以下材料。其中：工业治理项目验收还应提供财务决算报告，验收报告（含验收监测报告）；能力建设项目还应提供项目采购文件，采购硬件设施的能力建设项目需提供开箱验收及性能测试报告、购买软件技术服务的能力建设项目需提供系统测试报告，对移动源治理类能力建设项目需提供市级及以上技术监督部门颁发的计量器具形式批准证书、由第三方计量检定部门出具的设备计量检定或校准报告证书原件等材料；其他项目验收还应提供主要设备购买及安装清单，验收报告（含验收监测报告），淘汰类项目还需当地政府或者主管部门出具证明，项目实施前后对比图片资料。</w:t>
      </w:r>
    </w:p>
    <w:p>
      <w:pPr>
        <w:pStyle w:val="28"/>
        <w:keepNext w:val="0"/>
        <w:keepLines w:val="0"/>
        <w:pageBreakBefore w:val="0"/>
        <w:widowControl w:val="0"/>
        <w:kinsoku/>
        <w:overflowPunct/>
        <w:topLinePunct w:val="0"/>
        <w:autoSpaceDE/>
        <w:autoSpaceDN/>
        <w:bidi w:val="0"/>
        <w:adjustRightInd/>
        <w:snapToGrid/>
        <w:spacing w:before="0" w:line="600" w:lineRule="exact"/>
        <w:ind w:firstLine="822"/>
        <w:textAlignment w:val="auto"/>
        <w:rPr>
          <w:rFonts w:hint="eastAsia"/>
        </w:rPr>
      </w:pPr>
      <w:r>
        <w:rPr>
          <w:rFonts w:hint="eastAsia" w:ascii="Times New Roman" w:hAnsi="Times New Roman" w:eastAsia="方正仿宋_GBK" w:cs="Times New Roman"/>
          <w:sz w:val="32"/>
          <w:szCs w:val="28"/>
        </w:rPr>
        <w:t>（四）</w:t>
      </w:r>
      <w:r>
        <w:rPr>
          <w:rFonts w:hint="eastAsia" w:ascii="Times New Roman" w:hAnsi="Times New Roman" w:eastAsia="方正仿宋_GBK"/>
          <w:sz w:val="32"/>
          <w:szCs w:val="32"/>
        </w:rPr>
        <w:t>各项目承担单位应加强档案资料管理，建立专项资金项目档案，制定目录，整编成册，做到一个项目一个资料档案；档案资料至少要包括项目立项、批复、方案、实施、监测、验收的全过程资料，做到应收尽收，各项资料逻辑统一。项目建设过程中，应注重项目建设图文、影像资料的收集、整理，并作为项目档案资料备查。</w:t>
      </w:r>
    </w:p>
    <w:p>
      <w:pPr>
        <w:pStyle w:val="28"/>
        <w:keepNext w:val="0"/>
        <w:keepLines w:val="0"/>
        <w:pageBreakBefore w:val="0"/>
        <w:widowControl w:val="0"/>
        <w:kinsoku/>
        <w:overflowPunct/>
        <w:topLinePunct w:val="0"/>
        <w:autoSpaceDE/>
        <w:autoSpaceDN/>
        <w:bidi w:val="0"/>
        <w:adjustRightInd/>
        <w:snapToGrid/>
        <w:spacing w:before="0" w:line="600" w:lineRule="exact"/>
        <w:ind w:firstLine="822"/>
        <w:textAlignment w:val="auto"/>
        <w:rPr>
          <w:rFonts w:hint="eastAsia" w:ascii="Times New Roman" w:hAnsi="Times New Roman" w:eastAsia="方正仿宋_GBK" w:cs="Times New Roman"/>
          <w:sz w:val="32"/>
          <w:szCs w:val="28"/>
        </w:rPr>
      </w:pPr>
      <w:r>
        <w:rPr>
          <w:rFonts w:hint="eastAsia" w:ascii="Times New Roman" w:hAnsi="Times New Roman" w:eastAsia="方正仿宋_GBK" w:cs="Times New Roman"/>
          <w:sz w:val="32"/>
          <w:szCs w:val="28"/>
        </w:rPr>
        <w:t>（五）专项资金项目不得随意变更或调整，在实施过程中，若因不可抗力等客观原因，项目无法实施、不能按期完成或者建设内容发生重大变化(包括投资额、建设内容、目标和完成时间等)，应及时向区生态环境局书面报告；经与区财政局会商后报请以区政府名义向市生态环境局、市财政局提出书面申请；经批复同意后，方可按批复内容进行项目建设，并按程序组织验收。</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ascii="方正黑体_GBK" w:hAnsi="方正黑体_GBK" w:eastAsia="方正黑体_GBK" w:cs="方正黑体_GBK"/>
          <w:sz w:val="32"/>
          <w:szCs w:val="28"/>
        </w:rPr>
        <w:t>四、严格专项资金使用管理</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32"/>
        </w:rPr>
      </w:pPr>
      <w:r>
        <w:rPr>
          <w:rFonts w:hint="eastAsia" w:ascii="方正楷体_GBK" w:eastAsia="方正楷体_GBK"/>
          <w:sz w:val="32"/>
          <w:szCs w:val="32"/>
        </w:rPr>
        <w:t>（一）</w:t>
      </w:r>
      <w:r>
        <w:rPr>
          <w:rFonts w:hint="eastAsia" w:ascii="方正仿宋_GBK" w:hAnsi="方正仿宋_GBK" w:eastAsia="方正仿宋_GBK" w:cs="方正仿宋_GBK"/>
          <w:sz w:val="32"/>
          <w:szCs w:val="32"/>
        </w:rPr>
        <w:t>各</w:t>
      </w:r>
      <w:r>
        <w:rPr>
          <w:rFonts w:hint="eastAsia" w:eastAsia="方正仿宋_GBK"/>
          <w:sz w:val="32"/>
          <w:szCs w:val="32"/>
        </w:rPr>
        <w:t>项目承担单位应严格遵守《大气污染防治资金管理办法》、</w:t>
      </w:r>
      <w:r>
        <w:rPr>
          <w:rFonts w:ascii="方正仿宋_GBK" w:eastAsia="方正仿宋_GBK"/>
          <w:sz w:val="32"/>
          <w:szCs w:val="28"/>
        </w:rPr>
        <w:t>《</w:t>
      </w:r>
      <w:r>
        <w:rPr>
          <w:rFonts w:hint="eastAsia" w:ascii="方正仿宋_GBK" w:eastAsia="方正仿宋_GBK"/>
          <w:sz w:val="32"/>
          <w:szCs w:val="28"/>
        </w:rPr>
        <w:t>重庆市中央大气污染防治资金管理办法</w:t>
      </w:r>
      <w:r>
        <w:rPr>
          <w:rFonts w:ascii="方正仿宋_GBK" w:eastAsia="方正仿宋_GBK"/>
          <w:sz w:val="32"/>
          <w:szCs w:val="28"/>
        </w:rPr>
        <w:t>》</w:t>
      </w:r>
      <w:r>
        <w:rPr>
          <w:rFonts w:hint="eastAsia" w:eastAsia="方正仿宋_GBK"/>
          <w:sz w:val="32"/>
          <w:szCs w:val="32"/>
        </w:rPr>
        <w:t>等有关规定，加强专项资金管理，做到专款专用、发挥效益，严禁挪用或者用于与项目无关的事项。</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32"/>
        </w:rPr>
      </w:pPr>
      <w:r>
        <w:rPr>
          <w:rFonts w:hint="eastAsia" w:ascii="方正楷体_GBK" w:eastAsia="方正楷体_GBK"/>
          <w:sz w:val="32"/>
          <w:szCs w:val="32"/>
        </w:rPr>
        <w:t>（二）</w:t>
      </w:r>
      <w:r>
        <w:rPr>
          <w:rFonts w:hint="eastAsia" w:eastAsia="方正仿宋_GBK"/>
          <w:sz w:val="32"/>
          <w:szCs w:val="28"/>
        </w:rPr>
        <w:t>专项资金项目从中央生态环境资金项目管理系统储备库调入实施库后，区生态环境局会同区财政局在</w:t>
      </w:r>
      <w:r>
        <w:rPr>
          <w:rFonts w:hint="default" w:ascii="Times New Roman" w:hAnsi="Times New Roman" w:eastAsia="方正仿宋_GBK" w:cs="Times New Roman"/>
          <w:sz w:val="32"/>
          <w:szCs w:val="28"/>
        </w:rPr>
        <w:t>15</w:t>
      </w:r>
      <w:r>
        <w:rPr>
          <w:rFonts w:hint="eastAsia" w:eastAsia="方正仿宋_GBK"/>
          <w:sz w:val="32"/>
          <w:szCs w:val="28"/>
        </w:rPr>
        <w:t>个工作日内下达专项资金投资计划文件，</w:t>
      </w:r>
      <w:r>
        <w:rPr>
          <w:rFonts w:hint="eastAsia" w:eastAsia="方正仿宋_GBK"/>
          <w:sz w:val="32"/>
          <w:szCs w:val="32"/>
        </w:rPr>
        <w:t>作为财政监督管理和绩效评价的依据</w:t>
      </w:r>
      <w:r>
        <w:rPr>
          <w:rFonts w:hint="eastAsia" w:eastAsia="方正仿宋_GBK"/>
          <w:sz w:val="32"/>
          <w:szCs w:val="28"/>
        </w:rPr>
        <w:t>。</w:t>
      </w:r>
      <w:r>
        <w:rPr>
          <w:rFonts w:hint="eastAsia" w:eastAsia="方正仿宋_GBK"/>
          <w:sz w:val="32"/>
          <w:szCs w:val="32"/>
        </w:rPr>
        <w:t>对已经进入实质性实施阶段的项目，区生态环境局将按照有关规定要求及时拨付相应比例资金，预留</w:t>
      </w:r>
      <w:r>
        <w:rPr>
          <w:rFonts w:hint="default" w:ascii="Times New Roman" w:hAnsi="Times New Roman" w:eastAsia="方正仿宋_GBK" w:cs="Times New Roman"/>
          <w:sz w:val="32"/>
          <w:szCs w:val="32"/>
        </w:rPr>
        <w:t>25</w:t>
      </w:r>
      <w:r>
        <w:rPr>
          <w:rFonts w:hint="eastAsia" w:eastAsia="方正仿宋_GBK"/>
          <w:sz w:val="32"/>
          <w:szCs w:val="32"/>
        </w:rPr>
        <w:t>%验收后拨付，特殊情况或上级有明确规定的除外，以充分发挥财政资金效益，确保项目早日建成和收到减排实效；对已完成验收的项目，将及时拨付剩余资金，提高预算资金执行率。完成项目建设内容的项目但未完成投资额的项目，补助资金同比例核定。结余资金和</w:t>
      </w:r>
      <w:r>
        <w:rPr>
          <w:rFonts w:hint="default" w:ascii="Times New Roman" w:hAnsi="Times New Roman" w:eastAsia="方正仿宋_GBK" w:cs="Times New Roman"/>
          <w:sz w:val="32"/>
          <w:szCs w:val="32"/>
        </w:rPr>
        <w:t>2</w:t>
      </w:r>
      <w:r>
        <w:rPr>
          <w:rFonts w:hint="eastAsia" w:eastAsia="方正仿宋_GBK"/>
          <w:sz w:val="32"/>
          <w:szCs w:val="32"/>
        </w:rPr>
        <w:t>年以上结转资金按存量资金程序管理。</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32"/>
        </w:rPr>
      </w:pPr>
      <w:r>
        <w:rPr>
          <w:rFonts w:hint="eastAsia" w:ascii="方正楷体_GBK" w:eastAsia="方正楷体_GBK"/>
          <w:sz w:val="32"/>
          <w:szCs w:val="32"/>
        </w:rPr>
        <w:t>（三）</w:t>
      </w:r>
      <w:r>
        <w:rPr>
          <w:rFonts w:hint="eastAsia" w:eastAsia="方正仿宋_GBK"/>
          <w:sz w:val="32"/>
          <w:szCs w:val="32"/>
        </w:rPr>
        <w:t>对于补助资金</w:t>
      </w:r>
      <w:r>
        <w:rPr>
          <w:rFonts w:hint="default" w:ascii="Times New Roman" w:hAnsi="Times New Roman" w:eastAsia="方正仿宋_GBK" w:cs="Times New Roman"/>
          <w:sz w:val="32"/>
          <w:szCs w:val="32"/>
        </w:rPr>
        <w:t>50</w:t>
      </w:r>
      <w:r>
        <w:rPr>
          <w:rFonts w:hint="eastAsia" w:eastAsia="方正仿宋_GBK"/>
          <w:sz w:val="32"/>
          <w:szCs w:val="32"/>
        </w:rPr>
        <w:t>万元及以上的单个项目，应开展竣工决算，并将财务决算报告作为验收材料一并报送区生态环境局；对补助资金在</w:t>
      </w:r>
      <w:r>
        <w:rPr>
          <w:rFonts w:hint="default" w:ascii="Times New Roman" w:hAnsi="Times New Roman" w:eastAsia="方正仿宋_GBK" w:cs="Times New Roman"/>
          <w:sz w:val="32"/>
          <w:szCs w:val="32"/>
        </w:rPr>
        <w:t>50</w:t>
      </w:r>
      <w:r>
        <w:rPr>
          <w:rFonts w:hint="eastAsia" w:eastAsia="方正仿宋_GBK"/>
          <w:sz w:val="32"/>
          <w:szCs w:val="32"/>
        </w:rPr>
        <w:t>万以下的单个项目，原则上不需提供财务决算报告。</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32"/>
        </w:rPr>
      </w:pPr>
      <w:r>
        <w:rPr>
          <w:rFonts w:hint="eastAsia" w:ascii="方正楷体_GBK" w:eastAsia="方正楷体_GBK"/>
          <w:sz w:val="32"/>
          <w:szCs w:val="32"/>
        </w:rPr>
        <w:t>（四）</w:t>
      </w:r>
      <w:r>
        <w:rPr>
          <w:rFonts w:hint="eastAsia" w:eastAsia="方正仿宋_GBK"/>
          <w:sz w:val="32"/>
          <w:szCs w:val="32"/>
        </w:rPr>
        <w:t>区生态环境局、区财政局将加大专项资金的监督检查，定期研究解决项目推进中的问题，及时发现和纠正项目执行偏差，确保财政补贴资金使用的安全有效</w:t>
      </w:r>
      <w:r>
        <w:rPr>
          <w:rFonts w:hint="eastAsia" w:eastAsia="方正仿宋_GBK"/>
          <w:sz w:val="32"/>
          <w:szCs w:val="28"/>
        </w:rPr>
        <w:t>。</w:t>
      </w:r>
      <w:r>
        <w:rPr>
          <w:rFonts w:hint="eastAsia" w:eastAsia="方正仿宋_GBK"/>
          <w:sz w:val="32"/>
          <w:szCs w:val="32"/>
        </w:rPr>
        <w:t>加大违规惩戒力度，从严查处套取、骗取财政资金的行为，并报送有关部门追究相关人员责任。</w:t>
      </w:r>
      <w:r>
        <w:rPr>
          <w:rFonts w:eastAsia="方正仿宋_GBK"/>
          <w:sz w:val="32"/>
          <w:szCs w:val="28"/>
        </w:rPr>
        <w:t>专项资金支持的项目</w:t>
      </w:r>
      <w:r>
        <w:rPr>
          <w:rFonts w:hint="eastAsia" w:eastAsia="方正仿宋_GBK"/>
          <w:sz w:val="32"/>
          <w:szCs w:val="28"/>
        </w:rPr>
        <w:t>将</w:t>
      </w:r>
      <w:r>
        <w:rPr>
          <w:rFonts w:eastAsia="方正仿宋_GBK"/>
          <w:sz w:val="32"/>
          <w:szCs w:val="28"/>
        </w:rPr>
        <w:t>按照有关信息公开要求，</w:t>
      </w:r>
      <w:r>
        <w:rPr>
          <w:rFonts w:hint="eastAsia" w:eastAsia="方正仿宋_GBK"/>
          <w:sz w:val="32"/>
          <w:szCs w:val="28"/>
        </w:rPr>
        <w:t>在区</w:t>
      </w:r>
      <w:r>
        <w:rPr>
          <w:rFonts w:eastAsia="方正仿宋_GBK"/>
          <w:sz w:val="32"/>
          <w:szCs w:val="28"/>
        </w:rPr>
        <w:t>政府门户网站上公布资金安排和使用情况、项目安排和具体实施情况等</w:t>
      </w:r>
      <w:r>
        <w:rPr>
          <w:rFonts w:hint="eastAsia" w:eastAsia="方正仿宋_GBK"/>
          <w:sz w:val="32"/>
          <w:szCs w:val="28"/>
        </w:rPr>
        <w:t>，</w:t>
      </w:r>
      <w:r>
        <w:rPr>
          <w:rFonts w:eastAsia="方正仿宋_GBK"/>
          <w:sz w:val="32"/>
          <w:szCs w:val="28"/>
        </w:rPr>
        <w:t>接受社会监督。</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28"/>
        </w:rPr>
      </w:pPr>
      <w:r>
        <w:rPr>
          <w:rFonts w:hint="eastAsia" w:eastAsia="方正仿宋_GBK"/>
          <w:sz w:val="32"/>
          <w:szCs w:val="32"/>
        </w:rPr>
        <w:t>（五）</w:t>
      </w:r>
      <w:r>
        <w:rPr>
          <w:rFonts w:hint="eastAsia" w:eastAsia="方正仿宋_GBK"/>
          <w:sz w:val="32"/>
          <w:szCs w:val="28"/>
        </w:rPr>
        <w:t>区生态环境局会同区财政局组织开展绩效自评，于次年</w:t>
      </w:r>
      <w:r>
        <w:rPr>
          <w:rFonts w:hint="default" w:ascii="Times New Roman" w:hAnsi="Times New Roman" w:eastAsia="方正仿宋_GBK" w:cs="Times New Roman"/>
          <w:sz w:val="32"/>
          <w:szCs w:val="28"/>
        </w:rPr>
        <w:t>2</w:t>
      </w:r>
      <w:r>
        <w:rPr>
          <w:rFonts w:hint="eastAsia" w:eastAsia="方正仿宋_GBK"/>
          <w:sz w:val="32"/>
          <w:szCs w:val="28"/>
        </w:rPr>
        <w:t>月底前，将上年度专项资金绩效自评报告报送市生态环境局和市财政局。各项目承担单位应严格落实资金绩效管理，配合开展绩效自评等工作，并自觉接受各级审计、财政部门的审计核查。</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五、其他要求</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32"/>
        </w:rPr>
      </w:pPr>
      <w:r>
        <w:rPr>
          <w:rFonts w:hint="eastAsia" w:ascii="方正楷体_GBK" w:eastAsia="方正楷体_GBK"/>
          <w:sz w:val="32"/>
          <w:szCs w:val="32"/>
        </w:rPr>
        <w:t>（一）</w:t>
      </w:r>
      <w:r>
        <w:rPr>
          <w:rFonts w:hint="eastAsia" w:eastAsia="方正仿宋_GBK"/>
          <w:sz w:val="32"/>
          <w:szCs w:val="32"/>
        </w:rPr>
        <w:t>各项目承担单位要落实环境保护主体责任，进一步建立健全环境管理规章制度，强化日常管理和维护，做好设施运行记录，确保设施正常、稳定运行。</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32"/>
        </w:rPr>
      </w:pPr>
      <w:r>
        <w:rPr>
          <w:rFonts w:hint="eastAsia" w:eastAsia="方正仿宋_GBK"/>
          <w:sz w:val="32"/>
          <w:szCs w:val="32"/>
        </w:rPr>
        <w:t>（二）本文件印发后，原《重庆市长寿区生态环境局关于进一步加强大气污染防治专项资金项目管理工作的通知》（长环发〔</w:t>
      </w:r>
      <w:r>
        <w:rPr>
          <w:rFonts w:hint="default" w:ascii="Times New Roman" w:hAnsi="Times New Roman" w:eastAsia="方正仿宋_GBK" w:cs="Times New Roman"/>
          <w:sz w:val="32"/>
          <w:szCs w:val="32"/>
        </w:rPr>
        <w:t>2021</w:t>
      </w:r>
      <w:r>
        <w:rPr>
          <w:rFonts w:hint="eastAsia" w:eastAsia="方正仿宋_GBK"/>
          <w:sz w:val="32"/>
          <w:szCs w:val="32"/>
        </w:rPr>
        <w:t>〕</w:t>
      </w:r>
      <w:r>
        <w:rPr>
          <w:rFonts w:hint="default" w:ascii="Times New Roman" w:hAnsi="Times New Roman" w:eastAsia="方正仿宋_GBK" w:cs="Times New Roman"/>
          <w:sz w:val="32"/>
          <w:szCs w:val="32"/>
        </w:rPr>
        <w:t>10</w:t>
      </w:r>
      <w:r>
        <w:rPr>
          <w:rFonts w:hint="eastAsia" w:eastAsia="方正仿宋_GBK"/>
          <w:sz w:val="32"/>
          <w:szCs w:val="32"/>
        </w:rPr>
        <w:t>号）废止。</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32"/>
        </w:rPr>
      </w:pP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eastAsia="方正仿宋_GBK"/>
          <w:sz w:val="32"/>
          <w:szCs w:val="32"/>
        </w:rPr>
      </w:pPr>
      <w:r>
        <w:rPr>
          <w:rFonts w:hint="eastAsia" w:eastAsia="方正仿宋_GBK"/>
          <w:sz w:val="32"/>
          <w:szCs w:val="32"/>
        </w:rPr>
        <w:t>附件：专项资金项目绩效目标申报表</w:t>
      </w:r>
    </w:p>
    <w:p>
      <w:pPr>
        <w:keepNext w:val="0"/>
        <w:keepLines w:val="0"/>
        <w:pageBreakBefore w:val="0"/>
        <w:widowControl w:val="0"/>
        <w:kinsoku/>
        <w:overflowPunct/>
        <w:topLinePunct w:val="0"/>
        <w:autoSpaceDE/>
        <w:autoSpaceDN/>
        <w:bidi w:val="0"/>
        <w:adjustRightInd/>
        <w:snapToGrid/>
        <w:spacing w:line="600" w:lineRule="exact"/>
        <w:ind w:firstLine="697" w:firstLineChars="218"/>
        <w:textAlignment w:val="auto"/>
        <w:rPr>
          <w:rFonts w:hint="eastAsia" w:eastAsia="方正仿宋_GBK"/>
          <w:sz w:val="32"/>
          <w:szCs w:val="32"/>
        </w:rPr>
      </w:pPr>
      <w:r>
        <w:rPr>
          <w:rFonts w:hint="eastAsia" w:eastAsia="方正仿宋_GBK"/>
          <w:sz w:val="32"/>
          <w:szCs w:val="32"/>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eastAsia" w:eastAsia="方正仿宋_GBK"/>
          <w:sz w:val="32"/>
          <w:szCs w:val="32"/>
        </w:rPr>
      </w:pPr>
      <w:r>
        <w:rPr>
          <w:rFonts w:hint="eastAsia" w:eastAsia="方正仿宋_GBK"/>
          <w:sz w:val="32"/>
          <w:szCs w:val="32"/>
        </w:rPr>
        <w:t xml:space="preserve">重庆市长寿区生态环境局   </w:t>
      </w:r>
      <w:r>
        <w:rPr>
          <w:rFonts w:hint="eastAsia" w:eastAsia="方正仿宋_GBK"/>
          <w:sz w:val="32"/>
          <w:szCs w:val="32"/>
          <w:lang w:val="en-US" w:eastAsia="zh-CN"/>
        </w:rPr>
        <w:t xml:space="preserve"> </w:t>
      </w:r>
      <w:r>
        <w:rPr>
          <w:rFonts w:hint="eastAsia" w:eastAsia="方正仿宋_GBK"/>
          <w:sz w:val="32"/>
          <w:szCs w:val="32"/>
        </w:rPr>
        <w:t xml:space="preserve">   重庆市长寿区财政局    </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eastAsia="方正仿宋_GBK"/>
          <w:sz w:val="32"/>
          <w:szCs w:val="32"/>
        </w:rPr>
      </w:pPr>
      <w:r>
        <w:rPr>
          <w:rFonts w:hint="eastAsia" w:eastAsia="方正仿宋_GBK"/>
          <w:sz w:val="32"/>
          <w:szCs w:val="32"/>
          <w:lang w:val="en-US" w:eastAsia="zh-CN"/>
        </w:rPr>
        <w:t xml:space="preserve">                                   </w:t>
      </w:r>
      <w:r>
        <w:rPr>
          <w:rFonts w:hint="default" w:ascii="Times New Roman" w:hAnsi="Times New Roman" w:eastAsia="方正仿宋_GBK" w:cs="Times New Roman"/>
          <w:sz w:val="32"/>
          <w:szCs w:val="32"/>
        </w:rPr>
        <w:t>2023</w:t>
      </w:r>
      <w:r>
        <w:rPr>
          <w:rFonts w:hint="eastAsia" w:eastAsia="方正仿宋_GBK"/>
          <w:sz w:val="32"/>
          <w:szCs w:val="32"/>
        </w:rPr>
        <w:t>年</w:t>
      </w:r>
      <w:r>
        <w:rPr>
          <w:rFonts w:hint="default" w:ascii="Times New Roman" w:hAnsi="Times New Roman" w:eastAsia="方正仿宋_GBK" w:cs="Times New Roman"/>
          <w:sz w:val="32"/>
          <w:szCs w:val="32"/>
        </w:rPr>
        <w:t>4</w:t>
      </w:r>
      <w:r>
        <w:rPr>
          <w:rFonts w:hint="eastAsia" w:eastAsia="方正仿宋_GBK"/>
          <w:sz w:val="32"/>
          <w:szCs w:val="32"/>
        </w:rPr>
        <w:t>月</w:t>
      </w:r>
      <w:r>
        <w:rPr>
          <w:rFonts w:hint="default" w:ascii="Times New Roman" w:hAnsi="Times New Roman" w:eastAsia="方正仿宋_GBK" w:cs="Times New Roman"/>
          <w:sz w:val="32"/>
          <w:szCs w:val="32"/>
          <w:lang w:val="en-US" w:eastAsia="zh-CN"/>
        </w:rPr>
        <w:t>4</w:t>
      </w:r>
      <w:r>
        <w:rPr>
          <w:rFonts w:hint="eastAsia" w:eastAsia="方正仿宋_GBK"/>
          <w:sz w:val="32"/>
          <w:szCs w:val="32"/>
        </w:rPr>
        <w:t>日</w:t>
      </w:r>
    </w:p>
    <w:p>
      <w:pPr>
        <w:pStyle w:val="2"/>
        <w:ind w:firstLine="640" w:firstLineChars="200"/>
        <w:rPr>
          <w:rFonts w:hint="eastAsia" w:eastAsia="方正仿宋_GBK"/>
          <w:b w:val="0"/>
          <w:bCs w:val="0"/>
          <w:lang w:eastAsia="zh-CN"/>
        </w:rPr>
      </w:pPr>
      <w:bookmarkStart w:id="0" w:name="_GoBack"/>
      <w:bookmarkEnd w:id="0"/>
      <w:r>
        <w:rPr>
          <w:rFonts w:hint="eastAsia" w:eastAsia="方正仿宋_GBK"/>
          <w:b w:val="0"/>
          <w:bCs w:val="0"/>
          <w:sz w:val="32"/>
          <w:szCs w:val="32"/>
          <w:lang w:eastAsia="zh-CN"/>
        </w:rPr>
        <w:t>（此件公开发布）</w:t>
      </w:r>
    </w:p>
    <w:p>
      <w:pPr>
        <w:spacing w:line="560" w:lineRule="exact"/>
        <w:rPr>
          <w:rFonts w:hint="eastAsia" w:eastAsia="方正黑体_GBK"/>
          <w:sz w:val="32"/>
          <w:szCs w:val="32"/>
        </w:rPr>
      </w:pPr>
      <w:r>
        <w:rPr>
          <w:rFonts w:hint="eastAsia" w:eastAsia="方正黑体_GBK"/>
          <w:sz w:val="32"/>
          <w:szCs w:val="32"/>
        </w:rPr>
        <w:t>附件</w:t>
      </w:r>
    </w:p>
    <w:p>
      <w:pPr>
        <w:spacing w:line="700" w:lineRule="exact"/>
        <w:jc w:val="center"/>
        <w:rPr>
          <w:rFonts w:hint="eastAsia" w:eastAsia="方正仿宋_GBK"/>
        </w:rPr>
      </w:pPr>
      <w:r>
        <w:rPr>
          <w:rFonts w:hint="eastAsia" w:ascii="方正小标宋_GBK" w:hAnsi="方正小标宋_GBK" w:eastAsia="方正小标宋_GBK" w:cs="方正小标宋_GBK"/>
          <w:sz w:val="44"/>
          <w:szCs w:val="44"/>
        </w:rPr>
        <w:t>专项资金项目绩效目标申报表</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5"/>
        <w:gridCol w:w="714"/>
        <w:gridCol w:w="292"/>
        <w:gridCol w:w="1602"/>
        <w:gridCol w:w="397"/>
        <w:gridCol w:w="841"/>
        <w:gridCol w:w="1531"/>
        <w:gridCol w:w="676"/>
        <w:gridCol w:w="229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721" w:type="dxa"/>
            <w:gridSpan w:val="3"/>
            <w:noWrap w:val="0"/>
            <w:vAlign w:val="center"/>
          </w:tcPr>
          <w:p>
            <w:pPr>
              <w:widowControl/>
              <w:adjustRightInd w:val="0"/>
              <w:snapToGrid w:val="0"/>
              <w:jc w:val="center"/>
              <w:rPr>
                <w:rFonts w:ascii="宋体" w:hAnsi="宋体"/>
                <w:kern w:val="0"/>
                <w:szCs w:val="21"/>
              </w:rPr>
            </w:pPr>
            <w:r>
              <w:rPr>
                <w:rFonts w:hint="eastAsia" w:ascii="宋体" w:hAnsi="宋体"/>
                <w:kern w:val="0"/>
                <w:szCs w:val="21"/>
              </w:rPr>
              <w:t>项目名称</w:t>
            </w:r>
          </w:p>
        </w:tc>
        <w:tc>
          <w:tcPr>
            <w:tcW w:w="7339" w:type="dxa"/>
            <w:gridSpan w:val="6"/>
            <w:noWrap w:val="0"/>
            <w:vAlign w:val="center"/>
          </w:tcPr>
          <w:p>
            <w:pPr>
              <w:widowControl/>
              <w:adjustRightInd w:val="0"/>
              <w:snapToGrid w:val="0"/>
              <w:jc w:val="center"/>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721" w:type="dxa"/>
            <w:gridSpan w:val="3"/>
            <w:noWrap w:val="0"/>
            <w:vAlign w:val="center"/>
          </w:tcPr>
          <w:p>
            <w:pPr>
              <w:widowControl/>
              <w:adjustRightInd w:val="0"/>
              <w:snapToGrid w:val="0"/>
              <w:jc w:val="center"/>
              <w:rPr>
                <w:rFonts w:ascii="宋体" w:hAnsi="宋体"/>
                <w:kern w:val="0"/>
                <w:szCs w:val="21"/>
              </w:rPr>
            </w:pPr>
            <w:r>
              <w:rPr>
                <w:rFonts w:hint="eastAsia" w:ascii="宋体" w:hAnsi="宋体"/>
                <w:kern w:val="0"/>
                <w:szCs w:val="21"/>
              </w:rPr>
              <w:t>所属专项</w:t>
            </w:r>
          </w:p>
        </w:tc>
        <w:tc>
          <w:tcPr>
            <w:tcW w:w="7339" w:type="dxa"/>
            <w:gridSpan w:val="6"/>
            <w:noWrap w:val="0"/>
            <w:vAlign w:val="center"/>
          </w:tcPr>
          <w:p>
            <w:pPr>
              <w:widowControl/>
              <w:adjustRightInd w:val="0"/>
              <w:snapToGrid w:val="0"/>
              <w:jc w:val="center"/>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721" w:type="dxa"/>
            <w:gridSpan w:val="3"/>
            <w:noWrap w:val="0"/>
            <w:vAlign w:val="center"/>
          </w:tcPr>
          <w:p>
            <w:pPr>
              <w:widowControl/>
              <w:adjustRightInd w:val="0"/>
              <w:snapToGrid w:val="0"/>
              <w:jc w:val="center"/>
              <w:rPr>
                <w:rFonts w:ascii="宋体" w:hAnsi="宋体"/>
                <w:kern w:val="0"/>
                <w:szCs w:val="21"/>
              </w:rPr>
            </w:pPr>
            <w:r>
              <w:rPr>
                <w:rFonts w:hint="eastAsia" w:ascii="宋体" w:hAnsi="宋体"/>
                <w:kern w:val="0"/>
                <w:szCs w:val="21"/>
              </w:rPr>
              <w:t>中央主管部门</w:t>
            </w:r>
          </w:p>
        </w:tc>
        <w:tc>
          <w:tcPr>
            <w:tcW w:w="2840" w:type="dxa"/>
            <w:gridSpan w:val="3"/>
            <w:noWrap w:val="0"/>
            <w:vAlign w:val="center"/>
          </w:tcPr>
          <w:p>
            <w:pPr>
              <w:widowControl/>
              <w:adjustRightInd w:val="0"/>
              <w:snapToGrid w:val="0"/>
              <w:jc w:val="center"/>
              <w:rPr>
                <w:rFonts w:ascii="宋体" w:hAnsi="宋体"/>
                <w:kern w:val="0"/>
                <w:szCs w:val="21"/>
              </w:rPr>
            </w:pPr>
            <w:r>
              <w:rPr>
                <w:rFonts w:hint="eastAsia" w:ascii="宋体" w:hAnsi="宋体"/>
                <w:kern w:val="0"/>
                <w:szCs w:val="21"/>
              </w:rPr>
              <w:t>　</w:t>
            </w:r>
          </w:p>
        </w:tc>
        <w:tc>
          <w:tcPr>
            <w:tcW w:w="1531" w:type="dxa"/>
            <w:noWrap w:val="0"/>
            <w:vAlign w:val="center"/>
          </w:tcPr>
          <w:p>
            <w:pPr>
              <w:widowControl/>
              <w:adjustRightInd w:val="0"/>
              <w:snapToGrid w:val="0"/>
              <w:jc w:val="center"/>
              <w:rPr>
                <w:rFonts w:ascii="宋体" w:hAnsi="宋体"/>
                <w:kern w:val="0"/>
                <w:szCs w:val="21"/>
              </w:rPr>
            </w:pPr>
            <w:r>
              <w:rPr>
                <w:rFonts w:hint="eastAsia" w:ascii="宋体" w:hAnsi="宋体"/>
                <w:kern w:val="0"/>
                <w:szCs w:val="21"/>
              </w:rPr>
              <w:t>省级财政部门</w:t>
            </w:r>
          </w:p>
        </w:tc>
        <w:tc>
          <w:tcPr>
            <w:tcW w:w="2968" w:type="dxa"/>
            <w:gridSpan w:val="2"/>
            <w:noWrap w:val="0"/>
            <w:vAlign w:val="center"/>
          </w:tcPr>
          <w:p>
            <w:pPr>
              <w:widowControl/>
              <w:adjustRightInd w:val="0"/>
              <w:snapToGrid w:val="0"/>
              <w:jc w:val="center"/>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721" w:type="dxa"/>
            <w:gridSpan w:val="3"/>
            <w:noWrap w:val="0"/>
            <w:vAlign w:val="center"/>
          </w:tcPr>
          <w:p>
            <w:pPr>
              <w:widowControl/>
              <w:adjustRightInd w:val="0"/>
              <w:snapToGrid w:val="0"/>
              <w:jc w:val="center"/>
              <w:rPr>
                <w:rFonts w:ascii="宋体" w:hAnsi="宋体"/>
                <w:kern w:val="0"/>
                <w:szCs w:val="21"/>
              </w:rPr>
            </w:pPr>
            <w:r>
              <w:rPr>
                <w:rFonts w:hint="eastAsia" w:ascii="宋体" w:hAnsi="宋体"/>
                <w:kern w:val="0"/>
                <w:szCs w:val="21"/>
              </w:rPr>
              <w:t>省级主管部门</w:t>
            </w:r>
          </w:p>
        </w:tc>
        <w:tc>
          <w:tcPr>
            <w:tcW w:w="2840" w:type="dxa"/>
            <w:gridSpan w:val="3"/>
            <w:noWrap w:val="0"/>
            <w:vAlign w:val="center"/>
          </w:tcPr>
          <w:p>
            <w:pPr>
              <w:widowControl/>
              <w:adjustRightInd w:val="0"/>
              <w:snapToGrid w:val="0"/>
              <w:jc w:val="center"/>
              <w:rPr>
                <w:rFonts w:ascii="宋体" w:hAnsi="宋体"/>
                <w:kern w:val="0"/>
                <w:szCs w:val="21"/>
              </w:rPr>
            </w:pPr>
            <w:r>
              <w:rPr>
                <w:rFonts w:hint="eastAsia" w:ascii="宋体" w:hAnsi="宋体"/>
                <w:kern w:val="0"/>
                <w:szCs w:val="21"/>
              </w:rPr>
              <w:t>　</w:t>
            </w:r>
          </w:p>
        </w:tc>
        <w:tc>
          <w:tcPr>
            <w:tcW w:w="1531" w:type="dxa"/>
            <w:noWrap w:val="0"/>
            <w:vAlign w:val="center"/>
          </w:tcPr>
          <w:p>
            <w:pPr>
              <w:widowControl/>
              <w:adjustRightInd w:val="0"/>
              <w:snapToGrid w:val="0"/>
              <w:jc w:val="center"/>
              <w:rPr>
                <w:rFonts w:ascii="宋体" w:hAnsi="宋体"/>
                <w:kern w:val="0"/>
                <w:szCs w:val="21"/>
              </w:rPr>
            </w:pPr>
            <w:r>
              <w:rPr>
                <w:rFonts w:hint="eastAsia" w:ascii="宋体" w:hAnsi="宋体"/>
                <w:kern w:val="0"/>
                <w:szCs w:val="21"/>
              </w:rPr>
              <w:t>具体实施单位</w:t>
            </w:r>
          </w:p>
        </w:tc>
        <w:tc>
          <w:tcPr>
            <w:tcW w:w="2968" w:type="dxa"/>
            <w:gridSpan w:val="2"/>
            <w:noWrap w:val="0"/>
            <w:vAlign w:val="center"/>
          </w:tcPr>
          <w:p>
            <w:pPr>
              <w:widowControl/>
              <w:adjustRightInd w:val="0"/>
              <w:snapToGrid w:val="0"/>
              <w:jc w:val="center"/>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721" w:type="dxa"/>
            <w:gridSpan w:val="3"/>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资金情况</w:t>
            </w:r>
            <w:r>
              <w:rPr>
                <w:rFonts w:ascii="宋体" w:hAnsi="宋体"/>
                <w:kern w:val="0"/>
                <w:szCs w:val="21"/>
              </w:rPr>
              <w:br w:type="textWrapping"/>
            </w:r>
            <w:r>
              <w:rPr>
                <w:rFonts w:hint="eastAsia" w:ascii="宋体" w:hAnsi="宋体"/>
                <w:kern w:val="0"/>
                <w:szCs w:val="21"/>
              </w:rPr>
              <w:t>（万元）</w:t>
            </w:r>
          </w:p>
        </w:tc>
        <w:tc>
          <w:tcPr>
            <w:tcW w:w="1999" w:type="dxa"/>
            <w:gridSpan w:val="2"/>
            <w:noWrap w:val="0"/>
            <w:vAlign w:val="center"/>
          </w:tcPr>
          <w:p>
            <w:pPr>
              <w:widowControl/>
              <w:adjustRightInd w:val="0"/>
              <w:snapToGrid w:val="0"/>
              <w:jc w:val="center"/>
              <w:rPr>
                <w:rFonts w:ascii="宋体" w:hAnsi="宋体"/>
                <w:kern w:val="0"/>
                <w:szCs w:val="21"/>
              </w:rPr>
            </w:pPr>
            <w:r>
              <w:rPr>
                <w:rFonts w:hint="eastAsia" w:ascii="宋体" w:hAnsi="宋体"/>
                <w:kern w:val="0"/>
                <w:szCs w:val="21"/>
              </w:rPr>
              <w:t>项目总投资</w:t>
            </w:r>
          </w:p>
        </w:tc>
        <w:tc>
          <w:tcPr>
            <w:tcW w:w="5340" w:type="dxa"/>
            <w:gridSpan w:val="4"/>
            <w:noWrap w:val="0"/>
            <w:vAlign w:val="center"/>
          </w:tcPr>
          <w:p>
            <w:pPr>
              <w:widowControl/>
              <w:adjustRightInd w:val="0"/>
              <w:snapToGrid w:val="0"/>
              <w:jc w:val="center"/>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721" w:type="dxa"/>
            <w:gridSpan w:val="3"/>
            <w:vMerge w:val="continue"/>
            <w:noWrap w:val="0"/>
            <w:vAlign w:val="center"/>
          </w:tcPr>
          <w:p>
            <w:pPr>
              <w:widowControl/>
              <w:adjustRightInd w:val="0"/>
              <w:snapToGrid w:val="0"/>
              <w:jc w:val="left"/>
              <w:rPr>
                <w:rFonts w:ascii="宋体" w:hAnsi="宋体"/>
                <w:kern w:val="0"/>
                <w:szCs w:val="21"/>
              </w:rPr>
            </w:pPr>
          </w:p>
        </w:tc>
        <w:tc>
          <w:tcPr>
            <w:tcW w:w="1999" w:type="dxa"/>
            <w:gridSpan w:val="2"/>
            <w:noWrap w:val="0"/>
            <w:vAlign w:val="center"/>
          </w:tcPr>
          <w:p>
            <w:pPr>
              <w:widowControl/>
              <w:adjustRightInd w:val="0"/>
              <w:snapToGrid w:val="0"/>
              <w:jc w:val="center"/>
              <w:rPr>
                <w:rFonts w:ascii="宋体" w:hAnsi="宋体"/>
                <w:kern w:val="0"/>
                <w:szCs w:val="21"/>
              </w:rPr>
            </w:pPr>
            <w:r>
              <w:rPr>
                <w:rFonts w:hint="eastAsia" w:ascii="宋体" w:hAnsi="宋体"/>
                <w:kern w:val="0"/>
                <w:szCs w:val="21"/>
              </w:rPr>
              <w:t>其中：中央财政资金</w:t>
            </w:r>
          </w:p>
        </w:tc>
        <w:tc>
          <w:tcPr>
            <w:tcW w:w="5340" w:type="dxa"/>
            <w:gridSpan w:val="4"/>
            <w:noWrap w:val="0"/>
            <w:vAlign w:val="center"/>
          </w:tcPr>
          <w:p>
            <w:pPr>
              <w:widowControl/>
              <w:adjustRightInd w:val="0"/>
              <w:snapToGrid w:val="0"/>
              <w:jc w:val="center"/>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721" w:type="dxa"/>
            <w:gridSpan w:val="3"/>
            <w:vMerge w:val="continue"/>
            <w:noWrap w:val="0"/>
            <w:vAlign w:val="center"/>
          </w:tcPr>
          <w:p>
            <w:pPr>
              <w:widowControl/>
              <w:adjustRightInd w:val="0"/>
              <w:snapToGrid w:val="0"/>
              <w:jc w:val="left"/>
              <w:rPr>
                <w:rFonts w:ascii="宋体" w:hAnsi="宋体"/>
                <w:kern w:val="0"/>
                <w:szCs w:val="21"/>
              </w:rPr>
            </w:pPr>
          </w:p>
        </w:tc>
        <w:tc>
          <w:tcPr>
            <w:tcW w:w="1999" w:type="dxa"/>
            <w:gridSpan w:val="2"/>
            <w:noWrap w:val="0"/>
            <w:vAlign w:val="center"/>
          </w:tcPr>
          <w:p>
            <w:pPr>
              <w:widowControl/>
              <w:adjustRightInd w:val="0"/>
              <w:snapToGrid w:val="0"/>
              <w:jc w:val="center"/>
              <w:rPr>
                <w:rFonts w:ascii="宋体" w:hAnsi="宋体"/>
                <w:kern w:val="0"/>
                <w:szCs w:val="21"/>
              </w:rPr>
            </w:pPr>
            <w:r>
              <w:rPr>
                <w:rFonts w:hint="eastAsia" w:ascii="宋体" w:hAnsi="宋体"/>
                <w:kern w:val="0"/>
                <w:szCs w:val="21"/>
              </w:rPr>
              <w:t>地方财政资金</w:t>
            </w:r>
          </w:p>
        </w:tc>
        <w:tc>
          <w:tcPr>
            <w:tcW w:w="5340" w:type="dxa"/>
            <w:gridSpan w:val="4"/>
            <w:noWrap w:val="0"/>
            <w:vAlign w:val="center"/>
          </w:tcPr>
          <w:p>
            <w:pPr>
              <w:widowControl/>
              <w:adjustRightInd w:val="0"/>
              <w:snapToGrid w:val="0"/>
              <w:jc w:val="center"/>
              <w:rPr>
                <w:rFonts w:ascii="宋体" w:hAnsi="宋体"/>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721" w:type="dxa"/>
            <w:gridSpan w:val="3"/>
            <w:vMerge w:val="continue"/>
            <w:noWrap w:val="0"/>
            <w:vAlign w:val="center"/>
          </w:tcPr>
          <w:p>
            <w:pPr>
              <w:widowControl/>
              <w:adjustRightInd w:val="0"/>
              <w:snapToGrid w:val="0"/>
              <w:jc w:val="left"/>
              <w:rPr>
                <w:rFonts w:ascii="宋体" w:hAnsi="宋体"/>
                <w:kern w:val="0"/>
                <w:szCs w:val="21"/>
              </w:rPr>
            </w:pPr>
          </w:p>
        </w:tc>
        <w:tc>
          <w:tcPr>
            <w:tcW w:w="1999" w:type="dxa"/>
            <w:gridSpan w:val="2"/>
            <w:noWrap w:val="0"/>
            <w:vAlign w:val="center"/>
          </w:tcPr>
          <w:p>
            <w:pPr>
              <w:widowControl/>
              <w:adjustRightInd w:val="0"/>
              <w:snapToGrid w:val="0"/>
              <w:jc w:val="center"/>
              <w:rPr>
                <w:rFonts w:ascii="宋体" w:hAnsi="宋体"/>
                <w:kern w:val="0"/>
                <w:szCs w:val="21"/>
              </w:rPr>
            </w:pPr>
            <w:r>
              <w:rPr>
                <w:rFonts w:hint="eastAsia" w:ascii="宋体" w:hAnsi="宋体"/>
                <w:kern w:val="0"/>
                <w:szCs w:val="21"/>
              </w:rPr>
              <w:t>其他资金</w:t>
            </w:r>
          </w:p>
        </w:tc>
        <w:tc>
          <w:tcPr>
            <w:tcW w:w="5340" w:type="dxa"/>
            <w:gridSpan w:val="4"/>
            <w:noWrap w:val="0"/>
            <w:vAlign w:val="center"/>
          </w:tcPr>
          <w:p>
            <w:pPr>
              <w:widowControl/>
              <w:adjustRightInd w:val="0"/>
              <w:snapToGrid w:val="0"/>
              <w:jc w:val="center"/>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90" w:hRule="atLeast"/>
          <w:jc w:val="center"/>
        </w:trPr>
        <w:tc>
          <w:tcPr>
            <w:tcW w:w="715" w:type="dxa"/>
            <w:noWrap w:val="0"/>
            <w:vAlign w:val="center"/>
          </w:tcPr>
          <w:p>
            <w:pPr>
              <w:widowControl/>
              <w:adjustRightInd w:val="0"/>
              <w:snapToGrid w:val="0"/>
              <w:jc w:val="center"/>
              <w:rPr>
                <w:rFonts w:ascii="宋体" w:hAnsi="宋体"/>
                <w:kern w:val="0"/>
                <w:szCs w:val="21"/>
              </w:rPr>
            </w:pPr>
            <w:r>
              <w:rPr>
                <w:rFonts w:hint="eastAsia" w:ascii="宋体" w:hAnsi="宋体"/>
                <w:kern w:val="0"/>
                <w:szCs w:val="21"/>
              </w:rPr>
              <w:t>总</w:t>
            </w:r>
            <w:r>
              <w:rPr>
                <w:rFonts w:ascii="宋体" w:hAnsi="宋体"/>
                <w:kern w:val="0"/>
                <w:szCs w:val="21"/>
              </w:rPr>
              <w:br w:type="textWrapping"/>
            </w:r>
            <w:r>
              <w:rPr>
                <w:rFonts w:hint="eastAsia" w:ascii="宋体" w:hAnsi="宋体"/>
                <w:kern w:val="0"/>
                <w:szCs w:val="21"/>
              </w:rPr>
              <w:t>体</w:t>
            </w:r>
            <w:r>
              <w:rPr>
                <w:rFonts w:ascii="宋体" w:hAnsi="宋体"/>
                <w:kern w:val="0"/>
                <w:szCs w:val="21"/>
              </w:rPr>
              <w:br w:type="textWrapping"/>
            </w:r>
            <w:r>
              <w:rPr>
                <w:rFonts w:hint="eastAsia" w:ascii="宋体" w:hAnsi="宋体"/>
                <w:kern w:val="0"/>
                <w:szCs w:val="21"/>
              </w:rPr>
              <w:t>目</w:t>
            </w:r>
            <w:r>
              <w:rPr>
                <w:rFonts w:ascii="宋体" w:hAnsi="宋体"/>
                <w:kern w:val="0"/>
                <w:szCs w:val="21"/>
              </w:rPr>
              <w:br w:type="textWrapping"/>
            </w:r>
            <w:r>
              <w:rPr>
                <w:rFonts w:hint="eastAsia" w:ascii="宋体" w:hAnsi="宋体"/>
                <w:kern w:val="0"/>
                <w:szCs w:val="21"/>
              </w:rPr>
              <w:t>标</w:t>
            </w:r>
          </w:p>
        </w:tc>
        <w:tc>
          <w:tcPr>
            <w:tcW w:w="8345" w:type="dxa"/>
            <w:gridSpan w:val="8"/>
            <w:noWrap w:val="0"/>
            <w:vAlign w:val="center"/>
          </w:tcPr>
          <w:p>
            <w:pPr>
              <w:widowControl/>
              <w:adjustRightInd w:val="0"/>
              <w:snapToGrid w:val="0"/>
              <w:jc w:val="left"/>
              <w:rPr>
                <w:rFonts w:ascii="宋体" w:hAnsi="宋体"/>
                <w:kern w:val="0"/>
                <w:szCs w:val="21"/>
              </w:rPr>
            </w:pPr>
            <w:r>
              <w:rPr>
                <w:rFonts w:hint="eastAsia" w:ascii="宋体" w:hAnsi="宋体"/>
                <w:kern w:val="0"/>
                <w:szCs w:val="21"/>
              </w:rPr>
              <w:t>目标</w:t>
            </w:r>
            <w:r>
              <w:rPr>
                <w:rFonts w:hint="default" w:ascii="Times New Roman" w:hAnsi="Times New Roman" w:cs="Times New Roman"/>
                <w:kern w:val="0"/>
                <w:szCs w:val="21"/>
              </w:rPr>
              <w:t>1</w:t>
            </w:r>
            <w:r>
              <w:rPr>
                <w:rFonts w:hint="eastAsia" w:ascii="宋体" w:hAnsi="宋体"/>
                <w:kern w:val="0"/>
                <w:szCs w:val="21"/>
              </w:rPr>
              <w:t>：</w:t>
            </w:r>
            <w:r>
              <w:rPr>
                <w:rFonts w:ascii="宋体" w:hAnsi="宋体"/>
                <w:kern w:val="0"/>
                <w:szCs w:val="21"/>
              </w:rPr>
              <w:br w:type="textWrapping"/>
            </w:r>
            <w:r>
              <w:rPr>
                <w:rFonts w:hint="eastAsia" w:ascii="宋体" w:hAnsi="宋体"/>
                <w:kern w:val="0"/>
                <w:szCs w:val="21"/>
              </w:rPr>
              <w:t>目标</w:t>
            </w:r>
            <w:r>
              <w:rPr>
                <w:rFonts w:hint="default" w:ascii="Times New Roman" w:hAnsi="Times New Roman" w:cs="Times New Roman"/>
                <w:kern w:val="0"/>
                <w:szCs w:val="21"/>
              </w:rPr>
              <w:t>2</w:t>
            </w:r>
            <w:r>
              <w:rPr>
                <w:rFonts w:hint="eastAsia" w:ascii="宋体" w:hAnsi="宋体"/>
                <w:kern w:val="0"/>
                <w:szCs w:val="21"/>
              </w:rPr>
              <w:t>：</w:t>
            </w:r>
            <w:r>
              <w:rPr>
                <w:rFonts w:ascii="宋体" w:hAnsi="宋体"/>
                <w:kern w:val="0"/>
                <w:szCs w:val="21"/>
              </w:rPr>
              <w:br w:type="textWrapping"/>
            </w:r>
            <w:r>
              <w:rPr>
                <w:rFonts w:hint="eastAsia" w:ascii="宋体" w:hAnsi="宋体"/>
                <w:kern w:val="0"/>
                <w:szCs w:val="21"/>
              </w:rPr>
              <w:t>目标</w:t>
            </w:r>
            <w:r>
              <w:rPr>
                <w:rFonts w:hint="default" w:ascii="Times New Roman" w:hAnsi="Times New Roman" w:cs="Times New Roman"/>
                <w:kern w:val="0"/>
                <w:szCs w:val="21"/>
              </w:rPr>
              <w:t>3</w:t>
            </w:r>
            <w:r>
              <w:rPr>
                <w:rFonts w:hint="eastAsia" w:ascii="宋体" w:hAnsi="宋体"/>
                <w:kern w:val="0"/>
                <w:szCs w:val="21"/>
              </w:rPr>
              <w:t>：</w:t>
            </w:r>
            <w:r>
              <w:rPr>
                <w:rFonts w:ascii="宋体" w:hAnsi="宋体"/>
                <w:kern w:val="0"/>
                <w:szCs w:val="21"/>
              </w:rPr>
              <w:br w:type="textWrapping"/>
            </w:r>
            <w:r>
              <w:rPr>
                <w:rFonts w:ascii="宋体" w:hAnsi="宋体"/>
                <w:kern w:val="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绩</w:t>
            </w:r>
            <w:r>
              <w:rPr>
                <w:rFonts w:ascii="宋体" w:hAnsi="宋体"/>
                <w:kern w:val="0"/>
                <w:szCs w:val="21"/>
              </w:rPr>
              <w:br w:type="textWrapping"/>
            </w:r>
            <w:r>
              <w:rPr>
                <w:rFonts w:hint="eastAsia" w:ascii="宋体" w:hAnsi="宋体"/>
                <w:kern w:val="0"/>
                <w:szCs w:val="21"/>
              </w:rPr>
              <w:t>效</w:t>
            </w:r>
            <w:r>
              <w:rPr>
                <w:rFonts w:ascii="宋体" w:hAnsi="宋体"/>
                <w:kern w:val="0"/>
                <w:szCs w:val="21"/>
              </w:rPr>
              <w:br w:type="textWrapping"/>
            </w:r>
            <w:r>
              <w:rPr>
                <w:rFonts w:hint="eastAsia" w:ascii="宋体" w:hAnsi="宋体"/>
                <w:kern w:val="0"/>
                <w:szCs w:val="21"/>
              </w:rPr>
              <w:t>指</w:t>
            </w:r>
            <w:r>
              <w:rPr>
                <w:rFonts w:ascii="宋体" w:hAnsi="宋体"/>
                <w:kern w:val="0"/>
                <w:szCs w:val="21"/>
              </w:rPr>
              <w:br w:type="textWrapping"/>
            </w:r>
            <w:r>
              <w:rPr>
                <w:rFonts w:hint="eastAsia" w:ascii="宋体" w:hAnsi="宋体"/>
                <w:kern w:val="0"/>
                <w:szCs w:val="21"/>
              </w:rPr>
              <w:t>标</w:t>
            </w:r>
          </w:p>
        </w:tc>
        <w:tc>
          <w:tcPr>
            <w:tcW w:w="714" w:type="dxa"/>
            <w:noWrap w:val="0"/>
            <w:vAlign w:val="center"/>
          </w:tcPr>
          <w:p>
            <w:pPr>
              <w:widowControl/>
              <w:adjustRightInd w:val="0"/>
              <w:snapToGrid w:val="0"/>
              <w:jc w:val="center"/>
              <w:rPr>
                <w:rFonts w:ascii="宋体" w:hAnsi="宋体"/>
                <w:kern w:val="0"/>
                <w:szCs w:val="21"/>
              </w:rPr>
            </w:pPr>
            <w:r>
              <w:rPr>
                <w:rFonts w:hint="eastAsia" w:ascii="宋体" w:hAnsi="宋体"/>
                <w:kern w:val="0"/>
                <w:szCs w:val="21"/>
              </w:rPr>
              <w:t>一级</w:t>
            </w:r>
            <w:r>
              <w:rPr>
                <w:rFonts w:ascii="宋体" w:hAnsi="宋体"/>
                <w:kern w:val="0"/>
                <w:szCs w:val="21"/>
              </w:rPr>
              <w:br w:type="textWrapping"/>
            </w:r>
            <w:r>
              <w:rPr>
                <w:rFonts w:hint="eastAsia" w:ascii="宋体" w:hAnsi="宋体"/>
                <w:kern w:val="0"/>
                <w:szCs w:val="21"/>
              </w:rPr>
              <w:t>指标</w:t>
            </w:r>
          </w:p>
        </w:tc>
        <w:tc>
          <w:tcPr>
            <w:tcW w:w="1894" w:type="dxa"/>
            <w:gridSpan w:val="2"/>
            <w:noWrap w:val="0"/>
            <w:vAlign w:val="center"/>
          </w:tcPr>
          <w:p>
            <w:pPr>
              <w:widowControl/>
              <w:adjustRightInd w:val="0"/>
              <w:snapToGrid w:val="0"/>
              <w:jc w:val="center"/>
              <w:rPr>
                <w:rFonts w:ascii="宋体" w:hAnsi="宋体"/>
                <w:kern w:val="0"/>
                <w:szCs w:val="21"/>
              </w:rPr>
            </w:pPr>
            <w:r>
              <w:rPr>
                <w:rFonts w:hint="eastAsia" w:ascii="宋体" w:hAnsi="宋体"/>
                <w:kern w:val="0"/>
                <w:szCs w:val="21"/>
              </w:rPr>
              <w:t>二级指标</w:t>
            </w:r>
          </w:p>
        </w:tc>
        <w:tc>
          <w:tcPr>
            <w:tcW w:w="3445" w:type="dxa"/>
            <w:gridSpan w:val="4"/>
            <w:noWrap w:val="0"/>
            <w:vAlign w:val="center"/>
          </w:tcPr>
          <w:p>
            <w:pPr>
              <w:widowControl/>
              <w:adjustRightInd w:val="0"/>
              <w:snapToGrid w:val="0"/>
              <w:jc w:val="center"/>
              <w:rPr>
                <w:rFonts w:ascii="宋体" w:hAnsi="宋体"/>
                <w:kern w:val="0"/>
                <w:szCs w:val="21"/>
              </w:rPr>
            </w:pPr>
            <w:r>
              <w:rPr>
                <w:rFonts w:hint="eastAsia" w:ascii="宋体" w:hAnsi="宋体"/>
                <w:kern w:val="0"/>
                <w:szCs w:val="21"/>
              </w:rPr>
              <w:t>三级指标</w:t>
            </w:r>
          </w:p>
        </w:tc>
        <w:tc>
          <w:tcPr>
            <w:tcW w:w="2292" w:type="dxa"/>
            <w:noWrap w:val="0"/>
            <w:vAlign w:val="center"/>
          </w:tcPr>
          <w:p>
            <w:pPr>
              <w:widowControl/>
              <w:adjustRightInd w:val="0"/>
              <w:snapToGrid w:val="0"/>
              <w:jc w:val="center"/>
              <w:rPr>
                <w:rFonts w:ascii="宋体" w:hAnsi="宋体"/>
                <w:kern w:val="0"/>
                <w:szCs w:val="21"/>
              </w:rPr>
            </w:pPr>
            <w:r>
              <w:rPr>
                <w:rFonts w:hint="eastAsia" w:ascii="宋体" w:hAnsi="宋体"/>
                <w:kern w:val="0"/>
                <w:szCs w:val="21"/>
              </w:rPr>
              <w:t>指标值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产</w:t>
            </w:r>
            <w:r>
              <w:rPr>
                <w:rFonts w:ascii="宋体" w:hAnsi="宋体"/>
                <w:kern w:val="0"/>
                <w:szCs w:val="21"/>
              </w:rPr>
              <w:br w:type="textWrapping"/>
            </w:r>
            <w:r>
              <w:rPr>
                <w:rFonts w:hint="eastAsia" w:ascii="宋体" w:hAnsi="宋体"/>
                <w:kern w:val="0"/>
                <w:szCs w:val="21"/>
              </w:rPr>
              <w:t>出</w:t>
            </w:r>
            <w:r>
              <w:rPr>
                <w:rFonts w:ascii="宋体" w:hAnsi="宋体"/>
                <w:kern w:val="0"/>
                <w:szCs w:val="21"/>
              </w:rPr>
              <w:br w:type="textWrapping"/>
            </w:r>
            <w:r>
              <w:rPr>
                <w:rFonts w:hint="eastAsia" w:ascii="宋体" w:hAnsi="宋体"/>
                <w:kern w:val="0"/>
                <w:szCs w:val="21"/>
              </w:rPr>
              <w:t>指</w:t>
            </w:r>
            <w:r>
              <w:rPr>
                <w:rFonts w:ascii="宋体" w:hAnsi="宋体"/>
                <w:kern w:val="0"/>
                <w:szCs w:val="21"/>
              </w:rPr>
              <w:br w:type="textWrapping"/>
            </w:r>
            <w:r>
              <w:rPr>
                <w:rFonts w:hint="eastAsia" w:ascii="宋体" w:hAnsi="宋体"/>
                <w:kern w:val="0"/>
                <w:szCs w:val="21"/>
              </w:rPr>
              <w:t>标</w:t>
            </w:r>
          </w:p>
        </w:tc>
        <w:tc>
          <w:tcPr>
            <w:tcW w:w="1894" w:type="dxa"/>
            <w:gridSpan w:val="2"/>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数量指标</w:t>
            </w: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1</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2</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质量指标</w:t>
            </w: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1</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2</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时效指标</w:t>
            </w: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1</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2</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成本指标</w:t>
            </w: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1</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2</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绩</w:t>
            </w:r>
            <w:r>
              <w:rPr>
                <w:rFonts w:ascii="宋体" w:hAnsi="宋体"/>
                <w:kern w:val="0"/>
                <w:szCs w:val="21"/>
              </w:rPr>
              <w:br w:type="textWrapping"/>
            </w:r>
            <w:r>
              <w:rPr>
                <w:rFonts w:hint="eastAsia" w:ascii="宋体" w:hAnsi="宋体"/>
                <w:kern w:val="0"/>
                <w:szCs w:val="21"/>
              </w:rPr>
              <w:t>效</w:t>
            </w:r>
            <w:r>
              <w:rPr>
                <w:rFonts w:ascii="宋体" w:hAnsi="宋体"/>
                <w:kern w:val="0"/>
                <w:szCs w:val="21"/>
              </w:rPr>
              <w:br w:type="textWrapping"/>
            </w:r>
            <w:r>
              <w:rPr>
                <w:rFonts w:hint="eastAsia" w:ascii="宋体" w:hAnsi="宋体"/>
                <w:kern w:val="0"/>
                <w:szCs w:val="21"/>
              </w:rPr>
              <w:t>指</w:t>
            </w:r>
            <w:r>
              <w:rPr>
                <w:rFonts w:ascii="宋体" w:hAnsi="宋体"/>
                <w:kern w:val="0"/>
                <w:szCs w:val="21"/>
              </w:rPr>
              <w:br w:type="textWrapping"/>
            </w:r>
            <w:r>
              <w:rPr>
                <w:rFonts w:hint="eastAsia" w:ascii="宋体" w:hAnsi="宋体"/>
                <w:kern w:val="0"/>
                <w:szCs w:val="21"/>
              </w:rPr>
              <w:t>标</w:t>
            </w:r>
          </w:p>
        </w:tc>
        <w:tc>
          <w:tcPr>
            <w:tcW w:w="714" w:type="dxa"/>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效</w:t>
            </w:r>
            <w:r>
              <w:rPr>
                <w:rFonts w:ascii="宋体" w:hAnsi="宋体"/>
                <w:kern w:val="0"/>
                <w:szCs w:val="21"/>
              </w:rPr>
              <w:br w:type="textWrapping"/>
            </w:r>
            <w:r>
              <w:rPr>
                <w:rFonts w:hint="eastAsia" w:ascii="宋体" w:hAnsi="宋体"/>
                <w:kern w:val="0"/>
                <w:szCs w:val="21"/>
              </w:rPr>
              <w:t>益</w:t>
            </w:r>
            <w:r>
              <w:rPr>
                <w:rFonts w:ascii="宋体" w:hAnsi="宋体"/>
                <w:kern w:val="0"/>
                <w:szCs w:val="21"/>
              </w:rPr>
              <w:br w:type="textWrapping"/>
            </w:r>
            <w:r>
              <w:rPr>
                <w:rFonts w:hint="eastAsia" w:ascii="宋体" w:hAnsi="宋体"/>
                <w:kern w:val="0"/>
                <w:szCs w:val="21"/>
              </w:rPr>
              <w:t>指</w:t>
            </w:r>
            <w:r>
              <w:rPr>
                <w:rFonts w:ascii="宋体" w:hAnsi="宋体"/>
                <w:kern w:val="0"/>
                <w:szCs w:val="21"/>
              </w:rPr>
              <w:br w:type="textWrapping"/>
            </w:r>
            <w:r>
              <w:rPr>
                <w:rFonts w:hint="eastAsia" w:ascii="宋体" w:hAnsi="宋体"/>
                <w:kern w:val="0"/>
                <w:szCs w:val="21"/>
              </w:rPr>
              <w:t>标</w:t>
            </w:r>
          </w:p>
        </w:tc>
        <w:tc>
          <w:tcPr>
            <w:tcW w:w="1894" w:type="dxa"/>
            <w:gridSpan w:val="2"/>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经济效益</w:t>
            </w:r>
            <w:r>
              <w:rPr>
                <w:rFonts w:ascii="宋体" w:hAnsi="宋体"/>
                <w:kern w:val="0"/>
                <w:szCs w:val="21"/>
              </w:rPr>
              <w:br w:type="textWrapping"/>
            </w:r>
            <w:r>
              <w:rPr>
                <w:rFonts w:hint="eastAsia" w:ascii="宋体" w:hAnsi="宋体"/>
                <w:kern w:val="0"/>
                <w:szCs w:val="21"/>
              </w:rPr>
              <w:t>指标</w:t>
            </w: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1</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2</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社会效益</w:t>
            </w:r>
            <w:r>
              <w:rPr>
                <w:rFonts w:ascii="宋体" w:hAnsi="宋体"/>
                <w:kern w:val="0"/>
                <w:szCs w:val="21"/>
              </w:rPr>
              <w:br w:type="textWrapping"/>
            </w:r>
            <w:r>
              <w:rPr>
                <w:rFonts w:hint="eastAsia" w:ascii="宋体" w:hAnsi="宋体"/>
                <w:kern w:val="0"/>
                <w:szCs w:val="21"/>
              </w:rPr>
              <w:t>指标</w:t>
            </w: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1</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2</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生态效益</w:t>
            </w:r>
            <w:r>
              <w:rPr>
                <w:rFonts w:ascii="宋体" w:hAnsi="宋体"/>
                <w:kern w:val="0"/>
                <w:szCs w:val="21"/>
              </w:rPr>
              <w:br w:type="textWrapping"/>
            </w:r>
            <w:r>
              <w:rPr>
                <w:rFonts w:hint="eastAsia" w:ascii="宋体" w:hAnsi="宋体"/>
                <w:kern w:val="0"/>
                <w:szCs w:val="21"/>
              </w:rPr>
              <w:t>指标</w:t>
            </w: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1</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2</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可持续影响</w:t>
            </w:r>
            <w:r>
              <w:rPr>
                <w:rFonts w:ascii="宋体" w:hAnsi="宋体"/>
                <w:kern w:val="0"/>
                <w:szCs w:val="21"/>
              </w:rPr>
              <w:br w:type="textWrapping"/>
            </w:r>
            <w:r>
              <w:rPr>
                <w:rFonts w:hint="eastAsia" w:ascii="宋体" w:hAnsi="宋体"/>
                <w:kern w:val="0"/>
                <w:szCs w:val="21"/>
              </w:rPr>
              <w:t>指标</w:t>
            </w: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1</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2</w:t>
            </w:r>
            <w:r>
              <w:rPr>
                <w:rFonts w:hint="eastAsia" w:ascii="宋体" w:hAnsi="宋体"/>
                <w:kern w:val="0"/>
                <w:szCs w:val="21"/>
              </w:rPr>
              <w:t>：</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p>
        </w:tc>
        <w:tc>
          <w:tcPr>
            <w:tcW w:w="2292" w:type="dxa"/>
            <w:noWrap w:val="0"/>
            <w:vAlign w:val="center"/>
          </w:tcPr>
          <w:p>
            <w:pPr>
              <w:widowControl/>
              <w:adjustRightInd w:val="0"/>
              <w:snapToGrid w:val="0"/>
              <w:jc w:val="left"/>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满</w:t>
            </w:r>
          </w:p>
          <w:p>
            <w:pPr>
              <w:widowControl/>
              <w:adjustRightInd w:val="0"/>
              <w:snapToGrid w:val="0"/>
              <w:jc w:val="center"/>
              <w:rPr>
                <w:rFonts w:ascii="宋体" w:hAnsi="宋体"/>
                <w:kern w:val="0"/>
                <w:szCs w:val="21"/>
              </w:rPr>
            </w:pPr>
            <w:r>
              <w:rPr>
                <w:rFonts w:hint="eastAsia" w:ascii="宋体" w:hAnsi="宋体"/>
                <w:kern w:val="0"/>
                <w:szCs w:val="21"/>
              </w:rPr>
              <w:t>意</w:t>
            </w:r>
          </w:p>
          <w:p>
            <w:pPr>
              <w:widowControl/>
              <w:adjustRightInd w:val="0"/>
              <w:snapToGrid w:val="0"/>
              <w:jc w:val="center"/>
              <w:rPr>
                <w:rFonts w:ascii="宋体" w:hAnsi="宋体"/>
                <w:kern w:val="0"/>
                <w:szCs w:val="21"/>
              </w:rPr>
            </w:pPr>
            <w:r>
              <w:rPr>
                <w:rFonts w:hint="eastAsia" w:ascii="宋体" w:hAnsi="宋体"/>
                <w:kern w:val="0"/>
                <w:szCs w:val="21"/>
              </w:rPr>
              <w:t>度</w:t>
            </w:r>
          </w:p>
          <w:p>
            <w:pPr>
              <w:widowControl/>
              <w:adjustRightInd w:val="0"/>
              <w:snapToGrid w:val="0"/>
              <w:jc w:val="center"/>
              <w:rPr>
                <w:rFonts w:ascii="宋体" w:hAnsi="宋体"/>
                <w:kern w:val="0"/>
                <w:szCs w:val="21"/>
              </w:rPr>
            </w:pPr>
            <w:r>
              <w:rPr>
                <w:rFonts w:hint="eastAsia" w:ascii="宋体" w:hAnsi="宋体"/>
                <w:kern w:val="0"/>
                <w:szCs w:val="21"/>
              </w:rPr>
              <w:t>指</w:t>
            </w:r>
          </w:p>
          <w:p>
            <w:pPr>
              <w:widowControl/>
              <w:adjustRightInd w:val="0"/>
              <w:snapToGrid w:val="0"/>
              <w:jc w:val="center"/>
              <w:rPr>
                <w:rFonts w:ascii="宋体" w:hAnsi="宋体"/>
                <w:kern w:val="0"/>
                <w:szCs w:val="21"/>
              </w:rPr>
            </w:pPr>
            <w:r>
              <w:rPr>
                <w:rFonts w:hint="eastAsia" w:ascii="宋体" w:hAnsi="宋体"/>
                <w:kern w:val="0"/>
                <w:szCs w:val="21"/>
              </w:rPr>
              <w:t>标</w:t>
            </w:r>
          </w:p>
        </w:tc>
        <w:tc>
          <w:tcPr>
            <w:tcW w:w="1894" w:type="dxa"/>
            <w:gridSpan w:val="2"/>
            <w:vMerge w:val="restart"/>
            <w:noWrap w:val="0"/>
            <w:vAlign w:val="center"/>
          </w:tcPr>
          <w:p>
            <w:pPr>
              <w:widowControl/>
              <w:adjustRightInd w:val="0"/>
              <w:snapToGrid w:val="0"/>
              <w:jc w:val="center"/>
              <w:rPr>
                <w:rFonts w:ascii="宋体" w:hAnsi="宋体"/>
                <w:kern w:val="0"/>
                <w:szCs w:val="21"/>
              </w:rPr>
            </w:pPr>
            <w:r>
              <w:rPr>
                <w:rFonts w:hint="eastAsia" w:ascii="宋体" w:hAnsi="宋体"/>
                <w:kern w:val="0"/>
                <w:szCs w:val="21"/>
              </w:rPr>
              <w:t>服务对象</w:t>
            </w:r>
            <w:r>
              <w:rPr>
                <w:rFonts w:ascii="宋体" w:hAnsi="宋体"/>
                <w:kern w:val="0"/>
                <w:szCs w:val="21"/>
              </w:rPr>
              <w:br w:type="textWrapping"/>
            </w:r>
            <w:r>
              <w:rPr>
                <w:rFonts w:hint="eastAsia" w:ascii="宋体" w:hAnsi="宋体"/>
                <w:kern w:val="0"/>
                <w:szCs w:val="21"/>
              </w:rPr>
              <w:t>满意度指标</w:t>
            </w: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1</w:t>
            </w:r>
            <w:r>
              <w:rPr>
                <w:rFonts w:hint="eastAsia" w:ascii="宋体" w:hAnsi="宋体"/>
                <w:kern w:val="0"/>
                <w:szCs w:val="21"/>
              </w:rPr>
              <w:t>：</w:t>
            </w:r>
          </w:p>
        </w:tc>
        <w:tc>
          <w:tcPr>
            <w:tcW w:w="2292" w:type="dxa"/>
            <w:noWrap w:val="0"/>
            <w:vAlign w:val="center"/>
          </w:tcPr>
          <w:p>
            <w:pPr>
              <w:widowControl/>
              <w:adjustRightInd w:val="0"/>
              <w:snapToGrid w:val="0"/>
              <w:jc w:val="center"/>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r>
              <w:rPr>
                <w:rFonts w:hint="eastAsia" w:ascii="宋体" w:hAnsi="宋体"/>
                <w:kern w:val="0"/>
                <w:szCs w:val="21"/>
              </w:rPr>
              <w:t>指标</w:t>
            </w:r>
            <w:r>
              <w:rPr>
                <w:rFonts w:hint="default" w:ascii="Times New Roman" w:hAnsi="Times New Roman" w:cs="Times New Roman"/>
                <w:kern w:val="0"/>
                <w:szCs w:val="21"/>
              </w:rPr>
              <w:t>2</w:t>
            </w:r>
            <w:r>
              <w:rPr>
                <w:rFonts w:hint="eastAsia" w:ascii="宋体" w:hAnsi="宋体"/>
                <w:kern w:val="0"/>
                <w:szCs w:val="21"/>
              </w:rPr>
              <w:t>：</w:t>
            </w:r>
          </w:p>
        </w:tc>
        <w:tc>
          <w:tcPr>
            <w:tcW w:w="2292" w:type="dxa"/>
            <w:noWrap w:val="0"/>
            <w:vAlign w:val="center"/>
          </w:tcPr>
          <w:p>
            <w:pPr>
              <w:widowControl/>
              <w:adjustRightInd w:val="0"/>
              <w:snapToGrid w:val="0"/>
              <w:jc w:val="center"/>
              <w:rPr>
                <w:rFonts w:ascii="宋体" w:hAnsi="宋体"/>
                <w:kern w:val="0"/>
                <w:szCs w:val="21"/>
              </w:rPr>
            </w:pPr>
            <w:r>
              <w:rPr>
                <w:rFonts w:hint="eastAsia" w:ascii="宋体" w:hAnsi="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5" w:type="dxa"/>
            <w:vMerge w:val="continue"/>
            <w:noWrap w:val="0"/>
            <w:vAlign w:val="center"/>
          </w:tcPr>
          <w:p>
            <w:pPr>
              <w:widowControl/>
              <w:adjustRightInd w:val="0"/>
              <w:snapToGrid w:val="0"/>
              <w:jc w:val="left"/>
              <w:rPr>
                <w:rFonts w:ascii="宋体" w:hAnsi="宋体"/>
                <w:kern w:val="0"/>
                <w:szCs w:val="21"/>
              </w:rPr>
            </w:pPr>
          </w:p>
        </w:tc>
        <w:tc>
          <w:tcPr>
            <w:tcW w:w="714" w:type="dxa"/>
            <w:vMerge w:val="continue"/>
            <w:noWrap w:val="0"/>
            <w:vAlign w:val="center"/>
          </w:tcPr>
          <w:p>
            <w:pPr>
              <w:widowControl/>
              <w:adjustRightInd w:val="0"/>
              <w:snapToGrid w:val="0"/>
              <w:jc w:val="left"/>
              <w:rPr>
                <w:rFonts w:ascii="宋体" w:hAnsi="宋体"/>
                <w:kern w:val="0"/>
                <w:szCs w:val="21"/>
              </w:rPr>
            </w:pPr>
          </w:p>
        </w:tc>
        <w:tc>
          <w:tcPr>
            <w:tcW w:w="1894" w:type="dxa"/>
            <w:gridSpan w:val="2"/>
            <w:vMerge w:val="continue"/>
            <w:noWrap w:val="0"/>
            <w:vAlign w:val="center"/>
          </w:tcPr>
          <w:p>
            <w:pPr>
              <w:widowControl/>
              <w:adjustRightInd w:val="0"/>
              <w:snapToGrid w:val="0"/>
              <w:jc w:val="left"/>
              <w:rPr>
                <w:rFonts w:ascii="宋体" w:hAnsi="宋体"/>
                <w:kern w:val="0"/>
                <w:szCs w:val="21"/>
              </w:rPr>
            </w:pPr>
          </w:p>
        </w:tc>
        <w:tc>
          <w:tcPr>
            <w:tcW w:w="3445" w:type="dxa"/>
            <w:gridSpan w:val="4"/>
            <w:noWrap w:val="0"/>
            <w:vAlign w:val="center"/>
          </w:tcPr>
          <w:p>
            <w:pPr>
              <w:widowControl/>
              <w:adjustRightInd w:val="0"/>
              <w:snapToGrid w:val="0"/>
              <w:jc w:val="left"/>
              <w:rPr>
                <w:rFonts w:ascii="宋体" w:hAnsi="宋体"/>
                <w:kern w:val="0"/>
                <w:szCs w:val="21"/>
              </w:rPr>
            </w:pPr>
            <w:r>
              <w:rPr>
                <w:rFonts w:ascii="宋体" w:hAnsi="宋体"/>
                <w:kern w:val="0"/>
                <w:szCs w:val="21"/>
              </w:rPr>
              <w:t xml:space="preserve"> ……</w:t>
            </w:r>
          </w:p>
        </w:tc>
        <w:tc>
          <w:tcPr>
            <w:tcW w:w="2292" w:type="dxa"/>
            <w:noWrap w:val="0"/>
            <w:vAlign w:val="center"/>
          </w:tcPr>
          <w:p>
            <w:pPr>
              <w:widowControl/>
              <w:adjustRightInd w:val="0"/>
              <w:snapToGrid w:val="0"/>
              <w:jc w:val="center"/>
              <w:rPr>
                <w:rFonts w:ascii="宋体" w:hAnsi="宋体"/>
                <w:kern w:val="0"/>
                <w:szCs w:val="21"/>
              </w:rPr>
            </w:pPr>
            <w:r>
              <w:rPr>
                <w:rFonts w:hint="eastAsia" w:ascii="宋体" w:hAnsi="宋体"/>
                <w:kern w:val="0"/>
                <w:szCs w:val="21"/>
              </w:rPr>
              <w:t>　</w:t>
            </w:r>
          </w:p>
        </w:tc>
      </w:tr>
    </w:tbl>
    <w:p>
      <w:pPr>
        <w:pStyle w:val="2"/>
        <w:rPr>
          <w:rFonts w:hint="default"/>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4779" w:firstLineChars="17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生态环境局</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生态环境局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0F283D96"/>
    <w:rsid w:val="11B07144"/>
    <w:rsid w:val="143C3B37"/>
    <w:rsid w:val="150978DB"/>
    <w:rsid w:val="152D2DCA"/>
    <w:rsid w:val="17C33AC9"/>
    <w:rsid w:val="187168EA"/>
    <w:rsid w:val="18DF190F"/>
    <w:rsid w:val="18FF1921"/>
    <w:rsid w:val="196673CA"/>
    <w:rsid w:val="196D5DF5"/>
    <w:rsid w:val="19C820A4"/>
    <w:rsid w:val="1A6D1382"/>
    <w:rsid w:val="1B2F4AEE"/>
    <w:rsid w:val="1B612005"/>
    <w:rsid w:val="1C783197"/>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4763639"/>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E812E99"/>
    <w:rsid w:val="4FA72771"/>
    <w:rsid w:val="4FFD4925"/>
    <w:rsid w:val="505C172E"/>
    <w:rsid w:val="506405EA"/>
    <w:rsid w:val="519D3E2C"/>
    <w:rsid w:val="52F46F0B"/>
    <w:rsid w:val="532B6A10"/>
    <w:rsid w:val="53AF6D76"/>
    <w:rsid w:val="53D8014D"/>
    <w:rsid w:val="55244AD3"/>
    <w:rsid w:val="55E064E0"/>
    <w:rsid w:val="572C6D10"/>
    <w:rsid w:val="5A4170D0"/>
    <w:rsid w:val="5AF773F9"/>
    <w:rsid w:val="5B8D42E2"/>
    <w:rsid w:val="5CA36B27"/>
    <w:rsid w:val="5DC34279"/>
    <w:rsid w:val="5FCD688E"/>
    <w:rsid w:val="5FD22A33"/>
    <w:rsid w:val="5FF9BDAA"/>
    <w:rsid w:val="608816D1"/>
    <w:rsid w:val="609C3BAF"/>
    <w:rsid w:val="60EF4E7F"/>
    <w:rsid w:val="62857768"/>
    <w:rsid w:val="642C3698"/>
    <w:rsid w:val="648B0A32"/>
    <w:rsid w:val="65A31A8A"/>
    <w:rsid w:val="65FB510D"/>
    <w:rsid w:val="665233C1"/>
    <w:rsid w:val="69AC0D42"/>
    <w:rsid w:val="6AD9688B"/>
    <w:rsid w:val="6B5722FE"/>
    <w:rsid w:val="6D0E3F22"/>
    <w:rsid w:val="73AD5CF9"/>
    <w:rsid w:val="73CD730C"/>
    <w:rsid w:val="744E4660"/>
    <w:rsid w:val="753355A2"/>
    <w:rsid w:val="759E2BC0"/>
    <w:rsid w:val="759F1C61"/>
    <w:rsid w:val="769F2DE8"/>
    <w:rsid w:val="76FDEB7C"/>
    <w:rsid w:val="79C65162"/>
    <w:rsid w:val="7A2F3914"/>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Date"/>
    <w:basedOn w:val="1"/>
    <w:next w:val="1"/>
    <w:qFormat/>
    <w:uiPriority w:val="0"/>
    <w:rPr>
      <w:rFonts w:eastAsia="仿宋_GB2312"/>
      <w:sz w:val="32"/>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0">
    <w:name w:val="Body Text 2"/>
    <w:basedOn w:val="1"/>
    <w:unhideWhenUsed/>
    <w:qFormat/>
    <w:uiPriority w:val="99"/>
    <w:pPr>
      <w:spacing w:beforeLines="0" w:after="120" w:line="480" w:lineRule="auto"/>
    </w:pPr>
    <w:rPr>
      <w:rFonts w:hint="default"/>
      <w:sz w:val="32"/>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bCs/>
    </w:rPr>
  </w:style>
  <w:style w:type="character" w:styleId="16">
    <w:name w:val="page number"/>
    <w:basedOn w:val="14"/>
    <w:qFormat/>
    <w:uiPriority w:val="0"/>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正文缩进1"/>
    <w:basedOn w:val="1"/>
    <w:qFormat/>
    <w:uiPriority w:val="0"/>
    <w:pPr>
      <w:ind w:firstLine="420" w:firstLineChars="200"/>
    </w:pPr>
    <w:rPr>
      <w:rFonts w:ascii="Calibri" w:hAnsi="Calibri" w:cs="Times New Roman"/>
    </w:rPr>
  </w:style>
  <w:style w:type="paragraph" w:customStyle="1" w:styleId="19">
    <w:name w:val="p0"/>
    <w:basedOn w:val="1"/>
    <w:qFormat/>
    <w:uiPriority w:val="0"/>
    <w:pPr>
      <w:widowControl/>
    </w:pPr>
    <w:rPr>
      <w:rFonts w:ascii="Calibri" w:hAnsi="Calibri" w:eastAsia="宋体" w:cs="宋体"/>
      <w:kern w:val="0"/>
      <w:szCs w:val="32"/>
    </w:rPr>
  </w:style>
  <w:style w:type="character" w:customStyle="1" w:styleId="20">
    <w:name w:val="ca-7"/>
    <w:qFormat/>
    <w:uiPriority w:val="0"/>
  </w:style>
  <w:style w:type="character" w:customStyle="1" w:styleId="21">
    <w:name w:val="font21"/>
    <w:basedOn w:val="14"/>
    <w:qFormat/>
    <w:uiPriority w:val="0"/>
    <w:rPr>
      <w:rFonts w:hint="eastAsia" w:ascii="方正仿宋_GBK" w:hAnsi="方正仿宋_GBK" w:eastAsia="方正仿宋_GBK" w:cs="方正仿宋_GBK"/>
      <w:color w:val="000000"/>
      <w:sz w:val="24"/>
      <w:szCs w:val="24"/>
      <w:u w:val="none"/>
    </w:rPr>
  </w:style>
  <w:style w:type="character" w:customStyle="1" w:styleId="22">
    <w:name w:val="apple-converted-space"/>
    <w:basedOn w:val="14"/>
    <w:qFormat/>
    <w:uiPriority w:val="0"/>
  </w:style>
  <w:style w:type="paragraph" w:customStyle="1" w:styleId="23">
    <w:name w:val="默认段落字体 Para Char Char Char Char"/>
    <w:basedOn w:val="1"/>
    <w:qFormat/>
    <w:uiPriority w:val="0"/>
    <w:rPr>
      <w:rFonts w:ascii="Calibri" w:hAnsi="Calibri"/>
      <w:szCs w:val="22"/>
    </w:rPr>
  </w:style>
  <w:style w:type="character" w:customStyle="1" w:styleId="24">
    <w:name w:val="font61"/>
    <w:basedOn w:val="14"/>
    <w:qFormat/>
    <w:uiPriority w:val="0"/>
    <w:rPr>
      <w:rFonts w:hint="default" w:ascii="Times New Roman" w:hAnsi="Times New Roman" w:cs="Times New Roman"/>
      <w:color w:val="000000"/>
      <w:sz w:val="24"/>
      <w:szCs w:val="24"/>
      <w:u w:val="none"/>
    </w:rPr>
  </w:style>
  <w:style w:type="character" w:customStyle="1" w:styleId="25">
    <w:name w:val="font31"/>
    <w:basedOn w:val="14"/>
    <w:qFormat/>
    <w:uiPriority w:val="0"/>
    <w:rPr>
      <w:rFonts w:hint="eastAsia" w:ascii="方正仿宋_GBK" w:hAnsi="方正仿宋_GBK" w:eastAsia="方正仿宋_GBK" w:cs="方正仿宋_GBK"/>
      <w:color w:val="000000"/>
      <w:sz w:val="24"/>
      <w:szCs w:val="24"/>
      <w:u w:val="none"/>
    </w:rPr>
  </w:style>
  <w:style w:type="character" w:customStyle="1" w:styleId="26">
    <w:name w:val="font11"/>
    <w:basedOn w:val="14"/>
    <w:qFormat/>
    <w:uiPriority w:val="0"/>
    <w:rPr>
      <w:rFonts w:hint="default" w:ascii="Times New Roman" w:hAnsi="Times New Roman" w:cs="Times New Roman"/>
      <w:color w:val="000000"/>
      <w:sz w:val="24"/>
      <w:szCs w:val="24"/>
      <w:u w:val="none"/>
    </w:rPr>
  </w:style>
  <w:style w:type="character" w:customStyle="1" w:styleId="27">
    <w:name w:val="font01"/>
    <w:basedOn w:val="14"/>
    <w:qFormat/>
    <w:uiPriority w:val="0"/>
    <w:rPr>
      <w:rFonts w:hint="default" w:ascii="Times New Roman" w:hAnsi="Times New Roman" w:cs="Times New Roman"/>
      <w:color w:val="000000"/>
      <w:sz w:val="24"/>
      <w:szCs w:val="24"/>
      <w:u w:val="none"/>
    </w:rPr>
  </w:style>
  <w:style w:type="paragraph" w:customStyle="1" w:styleId="28">
    <w:name w:val="正文1"/>
    <w:basedOn w:val="1"/>
    <w:next w:val="1"/>
    <w:qFormat/>
    <w:uiPriority w:val="99"/>
    <w:pPr>
      <w:spacing w:before="156"/>
      <w:ind w:firstLine="668" w:firstLineChars="257"/>
    </w:pPr>
    <w:rPr>
      <w:rFonts w:ascii="宋体" w:hAnsi="宋体" w:eastAsia="宋体" w:cs="宋体"/>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3576</Words>
  <Characters>3607</Characters>
  <Lines>1</Lines>
  <Paragraphs>1</Paragraphs>
  <TotalTime>3</TotalTime>
  <ScaleCrop>false</ScaleCrop>
  <LinksUpToDate>false</LinksUpToDate>
  <CharactersWithSpaces>3717</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2023-12-08T06:43:49Z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