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kinsoku/>
        <w:wordWrap/>
        <w:overflowPunct/>
        <w:topLinePunct w:val="0"/>
        <w:autoSpaceDE/>
        <w:autoSpaceDN/>
        <w:bidi w:val="0"/>
        <w:adjustRightInd/>
        <w:snapToGrid/>
        <w:spacing w:before="0" w:beforeAutospacing="0" w:line="594" w:lineRule="exact"/>
        <w:jc w:val="center"/>
        <w:textAlignment w:val="auto"/>
        <w:rPr>
          <w:rFonts w:hint="default" w:ascii="Times New Roman" w:hAnsi="Times New Roman" w:eastAsia="方正小标宋_GBK" w:cs="Times New Roman"/>
          <w:color w:val="auto"/>
          <w:sz w:val="44"/>
          <w:szCs w:val="44"/>
        </w:rPr>
      </w:pPr>
      <w:r>
        <w:rPr>
          <w:rFonts w:hint="default" w:ascii="Times New Roman" w:hAnsi="Times New Roman" w:eastAsia="方正小标宋_GBK" w:cs="Times New Roman"/>
          <w:color w:val="auto"/>
          <w:sz w:val="44"/>
          <w:szCs w:val="44"/>
        </w:rPr>
        <w:t>重庆市长寿区城市管理综合行政执法支队</w:t>
      </w:r>
    </w:p>
    <w:p>
      <w:pPr>
        <w:pStyle w:val="5"/>
        <w:keepNext w:val="0"/>
        <w:keepLines w:val="0"/>
        <w:pageBreakBefore w:val="0"/>
        <w:widowControl/>
        <w:kinsoku/>
        <w:wordWrap/>
        <w:overflowPunct/>
        <w:topLinePunct w:val="0"/>
        <w:autoSpaceDE/>
        <w:autoSpaceDN/>
        <w:bidi w:val="0"/>
        <w:adjustRightInd/>
        <w:snapToGrid/>
        <w:spacing w:before="0" w:beforeAutospacing="0" w:line="594" w:lineRule="exact"/>
        <w:jc w:val="center"/>
        <w:textAlignment w:val="auto"/>
        <w:rPr>
          <w:rFonts w:hint="default" w:ascii="Times New Roman" w:hAnsi="Times New Roman" w:eastAsia="方正小标宋_GBK" w:cs="Times New Roman"/>
          <w:color w:val="auto"/>
          <w:sz w:val="44"/>
          <w:szCs w:val="44"/>
          <w:shd w:val="clear" w:color="auto" w:fill="FFFFFF"/>
        </w:rPr>
      </w:pPr>
      <w:r>
        <w:rPr>
          <w:rFonts w:hint="default" w:ascii="Times New Roman" w:hAnsi="Times New Roman" w:eastAsia="方正小标宋_GBK" w:cs="Times New Roman"/>
          <w:color w:val="auto"/>
          <w:sz w:val="44"/>
          <w:szCs w:val="44"/>
          <w:shd w:val="clear" w:color="auto" w:fill="FFFFFF"/>
        </w:rPr>
        <w:t>2023年度决算公开说明</w:t>
      </w:r>
    </w:p>
    <w:p>
      <w:pPr>
        <w:pStyle w:val="5"/>
        <w:keepNext w:val="0"/>
        <w:keepLines w:val="0"/>
        <w:pageBreakBefore w:val="0"/>
        <w:shd w:val="clear" w:color="auto" w:fill="FFFFFF"/>
        <w:kinsoku/>
        <w:wordWrap/>
        <w:overflowPunct/>
        <w:topLinePunct w:val="0"/>
        <w:autoSpaceDN/>
        <w:bidi w:val="0"/>
        <w:adjustRightInd/>
        <w:spacing w:beforeAutospacing="0" w:line="594" w:lineRule="exact"/>
        <w:textAlignment w:val="auto"/>
        <w:rPr>
          <w:rStyle w:val="9"/>
          <w:rFonts w:hint="default" w:ascii="Times New Roman" w:hAnsi="Times New Roman" w:eastAsia="黑体" w:cs="Times New Roman"/>
          <w:color w:val="auto"/>
          <w:sz w:val="32"/>
          <w:szCs w:val="32"/>
          <w:shd w:val="clear" w:color="auto" w:fill="FFFFFF"/>
        </w:rPr>
      </w:pPr>
    </w:p>
    <w:p>
      <w:pPr>
        <w:pStyle w:val="5"/>
        <w:keepNext w:val="0"/>
        <w:keepLines w:val="0"/>
        <w:pageBreakBefore w:val="0"/>
        <w:shd w:val="clear" w:color="auto" w:fill="FFFFFF"/>
        <w:kinsoku/>
        <w:wordWrap/>
        <w:overflowPunct/>
        <w:topLinePunct w:val="0"/>
        <w:autoSpaceDN/>
        <w:bidi w:val="0"/>
        <w:adjustRightInd/>
        <w:spacing w:beforeAutospacing="0" w:line="594" w:lineRule="exact"/>
        <w:ind w:firstLine="640" w:firstLineChars="200"/>
        <w:textAlignment w:val="auto"/>
        <w:rPr>
          <w:rFonts w:hint="default" w:ascii="Times New Roman" w:hAnsi="Times New Roman" w:eastAsia="方正黑体_GBK" w:cs="Times New Roman"/>
          <w:color w:val="auto"/>
          <w:sz w:val="32"/>
          <w:szCs w:val="32"/>
        </w:rPr>
      </w:pPr>
      <w:r>
        <w:rPr>
          <w:rStyle w:val="9"/>
          <w:rFonts w:hint="default" w:ascii="Times New Roman" w:hAnsi="Times New Roman" w:eastAsia="方正黑体_GBK" w:cs="Times New Roman"/>
          <w:color w:val="auto"/>
          <w:sz w:val="32"/>
          <w:szCs w:val="32"/>
          <w:shd w:val="clear" w:color="auto" w:fill="FFFFFF"/>
        </w:rPr>
        <w:t>一、部门基本情况</w:t>
      </w:r>
    </w:p>
    <w:p>
      <w:pPr>
        <w:pStyle w:val="5"/>
        <w:keepNext w:val="0"/>
        <w:keepLines w:val="0"/>
        <w:pageBreakBefore w:val="0"/>
        <w:shd w:val="clear" w:color="auto" w:fill="FFFFFF"/>
        <w:kinsoku/>
        <w:wordWrap/>
        <w:overflowPunct/>
        <w:topLinePunct w:val="0"/>
        <w:autoSpaceDN/>
        <w:bidi w:val="0"/>
        <w:adjustRightInd/>
        <w:spacing w:beforeAutospacing="0" w:line="594" w:lineRule="exact"/>
        <w:ind w:firstLine="420"/>
        <w:textAlignment w:val="auto"/>
        <w:rPr>
          <w:rFonts w:hint="default" w:ascii="Times New Roman" w:hAnsi="Times New Roman" w:eastAsia="方正楷体_GBK" w:cs="Times New Roman"/>
          <w:b/>
          <w:bCs w:val="0"/>
          <w:color w:val="auto"/>
          <w:sz w:val="32"/>
          <w:szCs w:val="32"/>
        </w:rPr>
      </w:pPr>
      <w:r>
        <w:rPr>
          <w:rStyle w:val="9"/>
          <w:rFonts w:hint="default" w:ascii="Times New Roman" w:hAnsi="Times New Roman" w:eastAsia="方正楷体_GBK" w:cs="Times New Roman"/>
          <w:b/>
          <w:bCs w:val="0"/>
          <w:color w:val="auto"/>
          <w:sz w:val="32"/>
          <w:szCs w:val="32"/>
          <w:shd w:val="clear" w:color="auto" w:fill="FFFFFF"/>
        </w:rPr>
        <w:t>（一）职能职责</w:t>
      </w:r>
    </w:p>
    <w:p>
      <w:pPr>
        <w:pStyle w:val="5"/>
        <w:keepNext w:val="0"/>
        <w:keepLines w:val="0"/>
        <w:pageBreakBefore w:val="0"/>
        <w:shd w:val="clear" w:color="auto" w:fill="FFFFFF"/>
        <w:kinsoku/>
        <w:wordWrap/>
        <w:overflowPunct/>
        <w:topLinePunct w:val="0"/>
        <w:autoSpaceDN/>
        <w:bidi w:val="0"/>
        <w:adjustRightInd/>
        <w:spacing w:beforeAutospacing="0" w:line="594" w:lineRule="exact"/>
        <w:ind w:firstLine="640" w:firstLineChars="200"/>
        <w:textAlignment w:val="auto"/>
        <w:rPr>
          <w:rFonts w:hint="default" w:ascii="Times New Roman" w:hAnsi="Times New Roman" w:eastAsia="方正仿宋_GBK" w:cs="Times New Roman"/>
          <w:color w:val="auto"/>
          <w:sz w:val="32"/>
          <w:szCs w:val="32"/>
          <w:shd w:val="clear" w:color="auto" w:fill="FFFFFF"/>
        </w:rPr>
      </w:pPr>
      <w:r>
        <w:rPr>
          <w:rFonts w:hint="default" w:ascii="Times New Roman" w:hAnsi="Times New Roman" w:eastAsia="方正仿宋_GBK" w:cs="Times New Roman"/>
          <w:color w:val="auto"/>
          <w:sz w:val="32"/>
          <w:szCs w:val="32"/>
          <w:shd w:val="clear" w:color="auto" w:fill="FFFFFF"/>
        </w:rPr>
        <w:t>贯彻执行有关城市管理行政执法的法律、法规、规章和方针政策，依法接受委托集中行使区级城市管理综合行政执法范围内的行政处罚权及相应的行政强制措施；承担市政公用、市容环卫、城市供水排水、园林绿化方面的各项行政处罚及相应的行政强制职能；承担环境保护管理方面的露天烧烤污染、城市焚烧沥青塑料垃圾等烟尘和恶臭污染、露天焚烧秸秆落叶等烟尘污染的行政处罚及相应的行政强制职能；承担工商管理方面的户外公共场所无照经营、违规设置户外广告的行政处罚及相应的行政强制职能；承担交通管理方面的侵占城市道路的行政处罚及相应的行政强制职能；承担水务管理方面的向城市河道倾倒废弃物和垃圾的行政处罚及相应的行政强制职能；承担食品药品监管方面的户外公共场所食品销售和餐饮摊点无证经营的行政处罚及相应的行政强制职能；负责城市管理综合行政执法重大复杂违法违规案件查处；负责城市管理综合行政执法队伍纠察工作，承办城市管理综合行政执法专项整治行动和重大执法活动；组织推进城市管理综合行政执法信息化建设；负责规划城镇建设用地范围内的城市违法建筑执法；承担国旗升挂、使用和收回方面的行政执法；承担生活垃圾方面的各项行政执法；上级交办的其他工作。</w:t>
      </w:r>
    </w:p>
    <w:p>
      <w:pPr>
        <w:pStyle w:val="5"/>
        <w:keepNext w:val="0"/>
        <w:keepLines w:val="0"/>
        <w:pageBreakBefore w:val="0"/>
        <w:shd w:val="clear" w:color="auto" w:fill="FFFFFF"/>
        <w:kinsoku/>
        <w:wordWrap/>
        <w:overflowPunct/>
        <w:topLinePunct w:val="0"/>
        <w:autoSpaceDN/>
        <w:bidi w:val="0"/>
        <w:adjustRightInd/>
        <w:spacing w:beforeAutospacing="0" w:line="594" w:lineRule="exact"/>
        <w:ind w:firstLine="640" w:firstLineChars="200"/>
        <w:textAlignment w:val="auto"/>
        <w:rPr>
          <w:rFonts w:hint="default" w:ascii="Times New Roman" w:hAnsi="Times New Roman" w:eastAsia="方正楷体_GBK" w:cs="Times New Roman"/>
          <w:color w:val="auto"/>
          <w:sz w:val="32"/>
          <w:szCs w:val="32"/>
        </w:rPr>
      </w:pPr>
      <w:r>
        <w:rPr>
          <w:rStyle w:val="9"/>
          <w:rFonts w:hint="default" w:ascii="Times New Roman" w:hAnsi="Times New Roman" w:eastAsia="方正楷体_GBK" w:cs="Times New Roman"/>
          <w:color w:val="auto"/>
          <w:sz w:val="32"/>
          <w:szCs w:val="32"/>
          <w:shd w:val="clear" w:color="auto" w:fill="FFFFFF"/>
        </w:rPr>
        <w:t>（二）机构设置</w:t>
      </w:r>
    </w:p>
    <w:p>
      <w:pPr>
        <w:pStyle w:val="5"/>
        <w:keepNext w:val="0"/>
        <w:keepLines w:val="0"/>
        <w:pageBreakBefore w:val="0"/>
        <w:shd w:val="clear" w:color="auto" w:fill="FFFFFF"/>
        <w:kinsoku/>
        <w:wordWrap/>
        <w:overflowPunct/>
        <w:topLinePunct w:val="0"/>
        <w:autoSpaceDN/>
        <w:bidi w:val="0"/>
        <w:adjustRightInd/>
        <w:spacing w:beforeAutospacing="0" w:line="594" w:lineRule="exact"/>
        <w:ind w:firstLine="640" w:firstLineChars="200"/>
        <w:textAlignment w:val="auto"/>
        <w:rPr>
          <w:rFonts w:hint="default" w:ascii="Times New Roman" w:hAnsi="Times New Roman" w:eastAsia="方正仿宋_GBK" w:cs="Times New Roman"/>
          <w:color w:val="auto"/>
          <w:sz w:val="32"/>
          <w:szCs w:val="32"/>
          <w:shd w:val="clear" w:color="auto" w:fill="FFFFFF"/>
        </w:rPr>
      </w:pPr>
      <w:r>
        <w:rPr>
          <w:rFonts w:hint="default" w:ascii="Times New Roman" w:hAnsi="Times New Roman" w:eastAsia="方正仿宋_GBK" w:cs="Times New Roman"/>
          <w:color w:val="auto"/>
          <w:sz w:val="32"/>
          <w:szCs w:val="32"/>
          <w:shd w:val="clear" w:color="auto" w:fill="FFFFFF"/>
        </w:rPr>
        <w:t>2017年12月18日更名重庆市长寿区城市管理综合行政执法支队，为重庆市长寿区城市管理局管理的综合行政执法机构，机构规格副处级，经费形式财政全额拨款，类别为公益一类。内设办公室、法制科、直属大队、纠察大队、违法建筑执法一大队、违法建筑执法二大队、一大队、二大队、三大队、四大队、五大队、六大队、七大队13个科室（大队）。单位地址：重庆市长寿区凤城街道建新中路511号，电话：023-64080589。</w:t>
      </w:r>
    </w:p>
    <w:p>
      <w:pPr>
        <w:pStyle w:val="5"/>
        <w:keepNext w:val="0"/>
        <w:keepLines w:val="0"/>
        <w:pageBreakBefore w:val="0"/>
        <w:shd w:val="clear" w:color="auto" w:fill="FFFFFF"/>
        <w:kinsoku/>
        <w:wordWrap/>
        <w:overflowPunct/>
        <w:topLinePunct w:val="0"/>
        <w:autoSpaceDN/>
        <w:bidi w:val="0"/>
        <w:adjustRightInd/>
        <w:spacing w:beforeAutospacing="0" w:line="594" w:lineRule="exact"/>
        <w:ind w:firstLine="640" w:firstLineChars="200"/>
        <w:textAlignment w:val="auto"/>
        <w:rPr>
          <w:rFonts w:hint="default" w:ascii="Times New Roman" w:hAnsi="Times New Roman" w:eastAsia="方正黑体_GBK" w:cs="Times New Roman"/>
          <w:color w:val="auto"/>
          <w:sz w:val="32"/>
          <w:szCs w:val="32"/>
        </w:rPr>
      </w:pPr>
      <w:r>
        <w:rPr>
          <w:rStyle w:val="9"/>
          <w:rFonts w:hint="default" w:ascii="Times New Roman" w:hAnsi="Times New Roman" w:eastAsia="方正黑体_GBK" w:cs="Times New Roman"/>
          <w:color w:val="auto"/>
          <w:sz w:val="32"/>
          <w:szCs w:val="32"/>
          <w:shd w:val="clear" w:color="auto" w:fill="FFFFFF"/>
        </w:rPr>
        <w:t>二、部门决算情况说明</w:t>
      </w:r>
    </w:p>
    <w:p>
      <w:pPr>
        <w:pStyle w:val="10"/>
        <w:keepNext w:val="0"/>
        <w:keepLines w:val="0"/>
        <w:pageBreakBefore w:val="0"/>
        <w:kinsoku/>
        <w:wordWrap/>
        <w:overflowPunct/>
        <w:topLinePunct w:val="0"/>
        <w:autoSpaceDE w:val="0"/>
        <w:autoSpaceDN/>
        <w:bidi w:val="0"/>
        <w:adjustRightInd/>
        <w:spacing w:beforeAutospacing="0" w:line="594" w:lineRule="exact"/>
        <w:ind w:firstLine="643"/>
        <w:textAlignment w:val="auto"/>
        <w:rPr>
          <w:rFonts w:hint="default" w:ascii="Times New Roman" w:hAnsi="Times New Roman" w:eastAsia="楷体" w:cs="Times New Roman"/>
          <w:b/>
          <w:bCs/>
          <w:color w:val="auto"/>
          <w:sz w:val="32"/>
          <w:szCs w:val="32"/>
          <w:shd w:val="clear" w:color="auto" w:fill="FFFFFF"/>
          <w:lang w:bidi="ar"/>
        </w:rPr>
      </w:pPr>
      <w:r>
        <w:rPr>
          <w:rFonts w:hint="default" w:ascii="Times New Roman" w:hAnsi="Times New Roman" w:eastAsia="楷体" w:cs="Times New Roman"/>
          <w:b/>
          <w:bCs/>
          <w:color w:val="auto"/>
          <w:sz w:val="32"/>
          <w:szCs w:val="32"/>
          <w:shd w:val="clear" w:color="auto" w:fill="FFFFFF"/>
          <w:lang w:bidi="ar"/>
        </w:rPr>
        <w:t>（一）收入支出决算总体情况说明。</w:t>
      </w:r>
    </w:p>
    <w:p>
      <w:pPr>
        <w:pStyle w:val="5"/>
        <w:keepNext w:val="0"/>
        <w:keepLines w:val="0"/>
        <w:pageBreakBefore w:val="0"/>
        <w:shd w:val="clear" w:color="auto" w:fill="FFFFFF"/>
        <w:kinsoku/>
        <w:wordWrap/>
        <w:overflowPunct/>
        <w:topLinePunct w:val="0"/>
        <w:autoSpaceDN/>
        <w:bidi w:val="0"/>
        <w:adjustRightInd/>
        <w:spacing w:beforeAutospacing="0" w:line="594" w:lineRule="exact"/>
        <w:ind w:firstLine="640" w:firstLineChars="200"/>
        <w:textAlignment w:val="auto"/>
        <w:rPr>
          <w:rFonts w:hint="default" w:ascii="Times New Roman" w:hAnsi="Times New Roman" w:eastAsia="方正仿宋_GBK" w:cs="Times New Roman"/>
          <w:color w:val="auto"/>
          <w:sz w:val="32"/>
          <w:szCs w:val="32"/>
        </w:rPr>
      </w:pPr>
      <w:r>
        <w:rPr>
          <w:rStyle w:val="9"/>
          <w:rFonts w:hint="default" w:ascii="Times New Roman" w:hAnsi="Times New Roman" w:eastAsia="方正仿宋_GBK" w:cs="Times New Roman"/>
          <w:color w:val="auto"/>
          <w:sz w:val="32"/>
          <w:szCs w:val="32"/>
          <w:shd w:val="clear" w:color="auto" w:fill="FFFFFF"/>
        </w:rPr>
        <w:t>1.总体情况。</w:t>
      </w:r>
      <w:r>
        <w:rPr>
          <w:rFonts w:hint="default" w:ascii="Times New Roman" w:hAnsi="Times New Roman" w:eastAsia="方正仿宋_GBK" w:cs="Times New Roman"/>
          <w:color w:val="auto"/>
          <w:sz w:val="32"/>
          <w:szCs w:val="32"/>
          <w:shd w:val="clear" w:color="auto" w:fill="FFFFFF"/>
        </w:rPr>
        <w:t>2023年度收入总计3014.79万元，支出总计</w:t>
      </w:r>
      <w:r>
        <w:rPr>
          <w:rFonts w:hint="default" w:ascii="Times New Roman" w:hAnsi="Times New Roman" w:eastAsia="方正仿宋_GBK" w:cs="Times New Roman"/>
          <w:color w:val="auto"/>
          <w:sz w:val="32"/>
          <w:szCs w:val="32"/>
        </w:rPr>
        <w:t>3014.79</w:t>
      </w:r>
      <w:r>
        <w:rPr>
          <w:rFonts w:hint="default" w:ascii="Times New Roman" w:hAnsi="Times New Roman" w:eastAsia="方正仿宋_GBK" w:cs="Times New Roman"/>
          <w:color w:val="auto"/>
          <w:sz w:val="32"/>
          <w:szCs w:val="32"/>
          <w:shd w:val="clear" w:color="auto" w:fill="FFFFFF"/>
        </w:rPr>
        <w:t>万元。收支较上年决算数增加291.35万元，增长10.7%，主要原因一是协管人员工资、社保调标；二是上年未支出项目调整到今年支出，导致支出增加。</w:t>
      </w:r>
    </w:p>
    <w:p>
      <w:pPr>
        <w:pStyle w:val="5"/>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sz w:val="32"/>
          <w:szCs w:val="32"/>
          <w:shd w:val="clear" w:color="auto" w:fill="FFFFFF"/>
        </w:rPr>
      </w:pPr>
      <w:r>
        <w:rPr>
          <w:rStyle w:val="9"/>
          <w:rFonts w:hint="default" w:ascii="Times New Roman" w:hAnsi="Times New Roman" w:eastAsia="方正仿宋_GBK" w:cs="Times New Roman"/>
          <w:color w:val="auto"/>
          <w:sz w:val="32"/>
          <w:szCs w:val="32"/>
          <w:shd w:val="clear" w:color="auto" w:fill="FFFFFF"/>
        </w:rPr>
        <w:t>2.收入情况。</w:t>
      </w:r>
      <w:r>
        <w:rPr>
          <w:rFonts w:hint="default" w:ascii="Times New Roman" w:hAnsi="Times New Roman" w:eastAsia="方正仿宋_GBK" w:cs="Times New Roman"/>
          <w:color w:val="auto"/>
          <w:sz w:val="32"/>
          <w:szCs w:val="32"/>
          <w:shd w:val="clear" w:color="auto" w:fill="FFFFFF"/>
        </w:rPr>
        <w:t>2023年度收入合计3014.79万元，较上年决算数增加291.35万元，增长10.7%，主要原因一是协管人员工资、社保调标；二是上年未支出项目调整到今年支出，导致支出增加。其中：财政拨款收入</w:t>
      </w:r>
      <w:r>
        <w:rPr>
          <w:rFonts w:hint="default" w:ascii="Times New Roman" w:hAnsi="Times New Roman" w:eastAsia="方正仿宋_GBK" w:cs="Times New Roman"/>
          <w:color w:val="auto"/>
          <w:sz w:val="32"/>
          <w:szCs w:val="32"/>
        </w:rPr>
        <w:t>3014.79</w:t>
      </w:r>
      <w:r>
        <w:rPr>
          <w:rFonts w:hint="default" w:ascii="Times New Roman" w:hAnsi="Times New Roman" w:eastAsia="方正仿宋_GBK" w:cs="Times New Roman"/>
          <w:color w:val="auto"/>
          <w:sz w:val="32"/>
          <w:szCs w:val="32"/>
          <w:shd w:val="clear" w:color="auto" w:fill="FFFFFF"/>
        </w:rPr>
        <w:t>万元，占</w:t>
      </w:r>
      <w:r>
        <w:rPr>
          <w:rFonts w:hint="default" w:ascii="Times New Roman" w:hAnsi="Times New Roman" w:eastAsia="方正仿宋_GBK" w:cs="Times New Roman"/>
          <w:color w:val="auto"/>
          <w:sz w:val="32"/>
          <w:szCs w:val="32"/>
        </w:rPr>
        <w:t>100.0</w:t>
      </w:r>
      <w:r>
        <w:rPr>
          <w:rFonts w:hint="default" w:ascii="Times New Roman" w:hAnsi="Times New Roman" w:eastAsia="方正仿宋_GBK" w:cs="Times New Roman"/>
          <w:color w:val="auto"/>
          <w:sz w:val="32"/>
          <w:szCs w:val="32"/>
          <w:shd w:val="clear" w:color="auto" w:fill="FFFFFF"/>
        </w:rPr>
        <w:t>%。此外，使用非财政拨款结余和专用结余</w:t>
      </w:r>
      <w:r>
        <w:rPr>
          <w:rFonts w:hint="default" w:ascii="Times New Roman" w:hAnsi="Times New Roman" w:eastAsia="方正仿宋_GBK" w:cs="Times New Roman"/>
          <w:color w:val="auto"/>
          <w:sz w:val="32"/>
          <w:szCs w:val="32"/>
          <w:lang w:val="en-US" w:eastAsia="zh-CN"/>
        </w:rPr>
        <w:t>0</w:t>
      </w:r>
      <w:r>
        <w:rPr>
          <w:rFonts w:hint="default" w:ascii="Times New Roman" w:hAnsi="Times New Roman" w:eastAsia="方正仿宋_GBK" w:cs="Times New Roman"/>
          <w:color w:val="auto"/>
          <w:sz w:val="32"/>
          <w:szCs w:val="32"/>
          <w:shd w:val="clear" w:color="auto" w:fill="FFFFFF"/>
        </w:rPr>
        <w:t>万元，年初结转和结余</w:t>
      </w:r>
      <w:r>
        <w:rPr>
          <w:rFonts w:hint="default" w:ascii="Times New Roman" w:hAnsi="Times New Roman" w:eastAsia="方正仿宋_GBK" w:cs="Times New Roman"/>
          <w:color w:val="auto"/>
          <w:sz w:val="32"/>
          <w:szCs w:val="32"/>
          <w:lang w:val="en-US" w:eastAsia="zh-CN"/>
        </w:rPr>
        <w:t>0</w:t>
      </w:r>
      <w:r>
        <w:rPr>
          <w:rFonts w:hint="default" w:ascii="Times New Roman" w:hAnsi="Times New Roman" w:eastAsia="方正仿宋_GBK" w:cs="Times New Roman"/>
          <w:color w:val="auto"/>
          <w:sz w:val="32"/>
          <w:szCs w:val="32"/>
          <w:shd w:val="clear" w:color="auto" w:fill="FFFFFF"/>
        </w:rPr>
        <w:t>万元。</w:t>
      </w:r>
    </w:p>
    <w:p>
      <w:pPr>
        <w:pStyle w:val="5"/>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sz w:val="32"/>
          <w:szCs w:val="32"/>
          <w:shd w:val="clear" w:color="auto" w:fill="FFFFFF"/>
        </w:rPr>
      </w:pPr>
      <w:r>
        <w:rPr>
          <w:rStyle w:val="9"/>
          <w:rFonts w:hint="default" w:ascii="Times New Roman" w:hAnsi="Times New Roman" w:eastAsia="方正仿宋_GBK" w:cs="Times New Roman"/>
          <w:color w:val="auto"/>
          <w:sz w:val="32"/>
          <w:szCs w:val="32"/>
          <w:shd w:val="clear" w:color="auto" w:fill="FFFFFF"/>
        </w:rPr>
        <w:t>3.支出情况。</w:t>
      </w:r>
      <w:r>
        <w:rPr>
          <w:rFonts w:hint="default" w:ascii="Times New Roman" w:hAnsi="Times New Roman" w:eastAsia="方正仿宋_GBK" w:cs="Times New Roman"/>
          <w:color w:val="auto"/>
          <w:sz w:val="32"/>
          <w:szCs w:val="32"/>
          <w:shd w:val="clear" w:color="auto" w:fill="FFFFFF"/>
        </w:rPr>
        <w:t>2023年度支出合计</w:t>
      </w:r>
      <w:r>
        <w:rPr>
          <w:rFonts w:hint="default" w:ascii="Times New Roman" w:hAnsi="Times New Roman" w:eastAsia="方正仿宋_GBK" w:cs="Times New Roman"/>
          <w:color w:val="auto"/>
          <w:sz w:val="32"/>
          <w:szCs w:val="32"/>
        </w:rPr>
        <w:t>3014.79</w:t>
      </w:r>
      <w:r>
        <w:rPr>
          <w:rFonts w:hint="default" w:ascii="Times New Roman" w:hAnsi="Times New Roman" w:eastAsia="方正仿宋_GBK" w:cs="Times New Roman"/>
          <w:color w:val="auto"/>
          <w:sz w:val="32"/>
          <w:szCs w:val="32"/>
          <w:shd w:val="clear" w:color="auto" w:fill="FFFFFF"/>
        </w:rPr>
        <w:t>万元，较上年决算数增加291.35万元，增长10.7%，主要原因一是协管人员工资、社保调标；二是上年未支出项目调整到今年支出</w:t>
      </w:r>
      <w:r>
        <w:rPr>
          <w:rFonts w:hint="eastAsia" w:ascii="Times New Roman" w:hAnsi="Times New Roman" w:eastAsia="方正仿宋_GBK" w:cs="Times New Roman"/>
          <w:color w:val="auto"/>
          <w:sz w:val="32"/>
          <w:szCs w:val="32"/>
          <w:shd w:val="clear" w:color="auto" w:fill="FFFFFF"/>
          <w:lang w:eastAsia="zh-CN"/>
        </w:rPr>
        <w:t>，</w:t>
      </w:r>
      <w:r>
        <w:rPr>
          <w:rFonts w:hint="default" w:ascii="Times New Roman" w:hAnsi="Times New Roman" w:eastAsia="方正仿宋_GBK" w:cs="Times New Roman"/>
          <w:color w:val="auto"/>
          <w:sz w:val="32"/>
          <w:szCs w:val="32"/>
          <w:shd w:val="clear" w:color="auto" w:fill="FFFFFF"/>
        </w:rPr>
        <w:t>导致支出增加。其中：基本支出</w:t>
      </w:r>
      <w:r>
        <w:rPr>
          <w:rFonts w:hint="default" w:ascii="Times New Roman" w:hAnsi="Times New Roman" w:eastAsia="方正仿宋_GBK" w:cs="Times New Roman"/>
          <w:color w:val="auto"/>
          <w:sz w:val="32"/>
          <w:szCs w:val="32"/>
        </w:rPr>
        <w:t>1436.94</w:t>
      </w:r>
      <w:r>
        <w:rPr>
          <w:rFonts w:hint="default" w:ascii="Times New Roman" w:hAnsi="Times New Roman" w:eastAsia="方正仿宋_GBK" w:cs="Times New Roman"/>
          <w:color w:val="auto"/>
          <w:sz w:val="32"/>
          <w:szCs w:val="32"/>
          <w:shd w:val="clear" w:color="auto" w:fill="FFFFFF"/>
        </w:rPr>
        <w:t>万元，占47.</w:t>
      </w:r>
      <w:r>
        <w:rPr>
          <w:rFonts w:hint="default" w:ascii="Times New Roman" w:hAnsi="Times New Roman" w:eastAsia="方正仿宋_GBK" w:cs="Times New Roman"/>
          <w:color w:val="auto"/>
          <w:sz w:val="32"/>
          <w:szCs w:val="32"/>
          <w:shd w:val="clear" w:color="auto" w:fill="FFFFFF"/>
          <w:lang w:val="en-US" w:eastAsia="zh-CN"/>
        </w:rPr>
        <w:t>7</w:t>
      </w:r>
      <w:r>
        <w:rPr>
          <w:rFonts w:hint="default" w:ascii="Times New Roman" w:hAnsi="Times New Roman" w:eastAsia="方正仿宋_GBK" w:cs="Times New Roman"/>
          <w:color w:val="auto"/>
          <w:sz w:val="32"/>
          <w:szCs w:val="32"/>
          <w:shd w:val="clear" w:color="auto" w:fill="FFFFFF"/>
        </w:rPr>
        <w:t>%；项目支出</w:t>
      </w:r>
      <w:r>
        <w:rPr>
          <w:rFonts w:hint="default" w:ascii="Times New Roman" w:hAnsi="Times New Roman" w:eastAsia="方正仿宋_GBK" w:cs="Times New Roman"/>
          <w:color w:val="auto"/>
          <w:sz w:val="32"/>
          <w:szCs w:val="32"/>
        </w:rPr>
        <w:t>1577.85</w:t>
      </w:r>
      <w:r>
        <w:rPr>
          <w:rFonts w:hint="default" w:ascii="Times New Roman" w:hAnsi="Times New Roman" w:eastAsia="方正仿宋_GBK" w:cs="Times New Roman"/>
          <w:color w:val="auto"/>
          <w:sz w:val="32"/>
          <w:szCs w:val="32"/>
          <w:shd w:val="clear" w:color="auto" w:fill="FFFFFF"/>
        </w:rPr>
        <w:t>万元，占52.</w:t>
      </w:r>
      <w:r>
        <w:rPr>
          <w:rFonts w:hint="default" w:ascii="Times New Roman" w:hAnsi="Times New Roman" w:eastAsia="方正仿宋_GBK" w:cs="Times New Roman"/>
          <w:color w:val="auto"/>
          <w:sz w:val="32"/>
          <w:szCs w:val="32"/>
          <w:shd w:val="clear" w:color="auto" w:fill="FFFFFF"/>
          <w:lang w:val="en-US" w:eastAsia="zh-CN"/>
        </w:rPr>
        <w:t>3</w:t>
      </w:r>
      <w:r>
        <w:rPr>
          <w:rFonts w:hint="default" w:ascii="Times New Roman" w:hAnsi="Times New Roman" w:eastAsia="方正仿宋_GBK" w:cs="Times New Roman"/>
          <w:color w:val="auto"/>
          <w:sz w:val="32"/>
          <w:szCs w:val="32"/>
          <w:shd w:val="clear" w:color="auto" w:fill="FFFFFF"/>
        </w:rPr>
        <w:t>%；经营支出</w:t>
      </w:r>
      <w:r>
        <w:rPr>
          <w:rFonts w:hint="default" w:ascii="Times New Roman" w:hAnsi="Times New Roman" w:eastAsia="方正仿宋_GBK" w:cs="Times New Roman"/>
          <w:color w:val="auto"/>
          <w:sz w:val="32"/>
          <w:szCs w:val="32"/>
          <w:lang w:val="en-US" w:eastAsia="zh-CN"/>
        </w:rPr>
        <w:t>0</w:t>
      </w:r>
      <w:r>
        <w:rPr>
          <w:rFonts w:hint="default" w:ascii="Times New Roman" w:hAnsi="Times New Roman" w:eastAsia="方正仿宋_GBK" w:cs="Times New Roman"/>
          <w:color w:val="auto"/>
          <w:sz w:val="32"/>
          <w:szCs w:val="32"/>
          <w:shd w:val="clear" w:color="auto" w:fill="FFFFFF"/>
        </w:rPr>
        <w:t>万元，占0.0%。此外，结余分配</w:t>
      </w:r>
      <w:r>
        <w:rPr>
          <w:rFonts w:hint="default" w:ascii="Times New Roman" w:hAnsi="Times New Roman" w:eastAsia="方正仿宋_GBK" w:cs="Times New Roman"/>
          <w:color w:val="auto"/>
          <w:sz w:val="32"/>
          <w:szCs w:val="32"/>
          <w:lang w:val="en-US" w:eastAsia="zh-CN"/>
        </w:rPr>
        <w:t>0</w:t>
      </w:r>
      <w:r>
        <w:rPr>
          <w:rFonts w:hint="default" w:ascii="Times New Roman" w:hAnsi="Times New Roman" w:eastAsia="方正仿宋_GBK" w:cs="Times New Roman"/>
          <w:color w:val="auto"/>
          <w:sz w:val="32"/>
          <w:szCs w:val="32"/>
          <w:shd w:val="clear" w:color="auto" w:fill="FFFFFF"/>
        </w:rPr>
        <w:t>万元。</w:t>
      </w:r>
    </w:p>
    <w:p>
      <w:pPr>
        <w:pStyle w:val="5"/>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sz w:val="32"/>
          <w:szCs w:val="32"/>
        </w:rPr>
      </w:pPr>
      <w:r>
        <w:rPr>
          <w:rStyle w:val="9"/>
          <w:rFonts w:hint="default" w:ascii="Times New Roman" w:hAnsi="Times New Roman" w:eastAsia="方正仿宋_GBK" w:cs="Times New Roman"/>
          <w:color w:val="auto"/>
          <w:sz w:val="32"/>
          <w:szCs w:val="32"/>
          <w:shd w:val="clear" w:color="auto" w:fill="FFFFFF"/>
        </w:rPr>
        <w:t>4.结转结余情况。</w:t>
      </w:r>
      <w:r>
        <w:rPr>
          <w:rFonts w:hint="default" w:ascii="Times New Roman" w:hAnsi="Times New Roman" w:eastAsia="方正仿宋_GBK" w:cs="Times New Roman"/>
          <w:color w:val="auto"/>
          <w:sz w:val="32"/>
          <w:szCs w:val="32"/>
          <w:shd w:val="clear" w:color="auto" w:fill="FFFFFF"/>
        </w:rPr>
        <w:t>2023年度年末结转和结余</w:t>
      </w:r>
      <w:r>
        <w:rPr>
          <w:rFonts w:hint="default" w:ascii="Times New Roman" w:hAnsi="Times New Roman" w:eastAsia="方正仿宋_GBK" w:cs="Times New Roman"/>
          <w:color w:val="auto"/>
          <w:sz w:val="32"/>
          <w:szCs w:val="32"/>
          <w:lang w:val="en-US" w:eastAsia="zh-CN"/>
        </w:rPr>
        <w:t>0</w:t>
      </w:r>
      <w:r>
        <w:rPr>
          <w:rFonts w:hint="default" w:ascii="Times New Roman" w:hAnsi="Times New Roman" w:eastAsia="方正仿宋_GBK" w:cs="Times New Roman"/>
          <w:color w:val="auto"/>
          <w:sz w:val="32"/>
          <w:szCs w:val="32"/>
          <w:shd w:val="clear" w:color="auto" w:fill="FFFFFF"/>
        </w:rPr>
        <w:t>万元，较上年决算数无增减</w:t>
      </w:r>
      <w:r>
        <w:rPr>
          <w:rFonts w:hint="default" w:ascii="Times New Roman" w:hAnsi="Times New Roman" w:eastAsia="方正仿宋_GBK" w:cs="Times New Roman"/>
          <w:color w:val="auto"/>
          <w:sz w:val="32"/>
          <w:szCs w:val="32"/>
          <w:shd w:val="clear" w:color="auto" w:fill="FFFFFF"/>
          <w:lang w:eastAsia="zh-CN"/>
        </w:rPr>
        <w:t>。</w:t>
      </w:r>
    </w:p>
    <w:p>
      <w:pPr>
        <w:pStyle w:val="10"/>
        <w:keepNext w:val="0"/>
        <w:keepLines w:val="0"/>
        <w:pageBreakBefore w:val="0"/>
        <w:kinsoku/>
        <w:wordWrap/>
        <w:overflowPunct/>
        <w:topLinePunct w:val="0"/>
        <w:autoSpaceDE w:val="0"/>
        <w:autoSpaceDN/>
        <w:bidi w:val="0"/>
        <w:adjustRightInd/>
        <w:spacing w:beforeAutospacing="0" w:line="594" w:lineRule="exact"/>
        <w:ind w:firstLine="643"/>
        <w:textAlignment w:val="auto"/>
        <w:rPr>
          <w:rFonts w:hint="default" w:ascii="Times New Roman" w:hAnsi="Times New Roman" w:eastAsia="方正楷体_GBK" w:cs="Times New Roman"/>
          <w:b/>
          <w:bCs/>
          <w:color w:val="auto"/>
          <w:sz w:val="32"/>
          <w:szCs w:val="32"/>
          <w:shd w:val="clear" w:color="auto" w:fill="FFFFFF"/>
          <w:lang w:bidi="ar"/>
        </w:rPr>
      </w:pPr>
      <w:r>
        <w:rPr>
          <w:rFonts w:hint="default" w:ascii="Times New Roman" w:hAnsi="Times New Roman" w:eastAsia="方正楷体_GBK" w:cs="Times New Roman"/>
          <w:b/>
          <w:bCs/>
          <w:color w:val="auto"/>
          <w:sz w:val="32"/>
          <w:szCs w:val="32"/>
          <w:shd w:val="clear" w:color="auto" w:fill="FFFFFF"/>
          <w:lang w:bidi="ar"/>
        </w:rPr>
        <w:t>（二）财政拨款收入支出决算总体情况说明</w:t>
      </w:r>
    </w:p>
    <w:p>
      <w:pPr>
        <w:pStyle w:val="5"/>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shd w:val="clear" w:color="auto" w:fill="FFFFFF"/>
        </w:rPr>
        <w:t>2023年度财政拨款收、支总计3014.79万元。与2022年相比，财政拨款收、支总计各增加291.35万元，增长10.7%。主要原因一是协管人员工资、社保调标；二是上年未支出项目调整到今年支出，导致支出增加。</w:t>
      </w:r>
    </w:p>
    <w:p>
      <w:pPr>
        <w:pStyle w:val="10"/>
        <w:keepNext w:val="0"/>
        <w:keepLines w:val="0"/>
        <w:pageBreakBefore w:val="0"/>
        <w:kinsoku/>
        <w:wordWrap/>
        <w:overflowPunct/>
        <w:topLinePunct w:val="0"/>
        <w:autoSpaceDE w:val="0"/>
        <w:autoSpaceDN/>
        <w:bidi w:val="0"/>
        <w:adjustRightInd/>
        <w:spacing w:beforeAutospacing="0" w:line="594" w:lineRule="exact"/>
        <w:ind w:firstLine="643"/>
        <w:textAlignment w:val="auto"/>
        <w:rPr>
          <w:rFonts w:hint="default" w:ascii="Times New Roman" w:hAnsi="Times New Roman" w:eastAsia="方正楷体_GBK" w:cs="Times New Roman"/>
          <w:b/>
          <w:bCs/>
          <w:color w:val="auto"/>
          <w:sz w:val="32"/>
          <w:szCs w:val="32"/>
          <w:shd w:val="clear" w:color="auto" w:fill="FFFFFF"/>
          <w:lang w:bidi="ar"/>
        </w:rPr>
      </w:pPr>
      <w:r>
        <w:rPr>
          <w:rFonts w:hint="default" w:ascii="Times New Roman" w:hAnsi="Times New Roman" w:eastAsia="方正楷体_GBK" w:cs="Times New Roman"/>
          <w:b/>
          <w:bCs/>
          <w:color w:val="auto"/>
          <w:sz w:val="32"/>
          <w:szCs w:val="32"/>
          <w:shd w:val="clear" w:color="auto" w:fill="FFFFFF"/>
          <w:lang w:bidi="ar"/>
        </w:rPr>
        <w:t>（三）一般公共预算财政拨款收入支出决算情况说明</w:t>
      </w:r>
    </w:p>
    <w:p>
      <w:pPr>
        <w:pStyle w:val="5"/>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sz w:val="32"/>
          <w:szCs w:val="32"/>
        </w:rPr>
      </w:pPr>
      <w:r>
        <w:rPr>
          <w:rStyle w:val="9"/>
          <w:rFonts w:hint="default" w:ascii="Times New Roman" w:hAnsi="Times New Roman" w:eastAsia="方正仿宋_GBK" w:cs="Times New Roman"/>
          <w:color w:val="auto"/>
          <w:sz w:val="32"/>
          <w:szCs w:val="32"/>
          <w:shd w:val="clear" w:color="auto" w:fill="FFFFFF"/>
        </w:rPr>
        <w:t>1.收入情况。</w:t>
      </w:r>
      <w:r>
        <w:rPr>
          <w:rFonts w:hint="default" w:ascii="Times New Roman" w:hAnsi="Times New Roman" w:eastAsia="方正仿宋_GBK" w:cs="Times New Roman"/>
          <w:color w:val="auto"/>
          <w:sz w:val="32"/>
          <w:szCs w:val="32"/>
          <w:shd w:val="clear" w:color="auto" w:fill="FFFFFF"/>
        </w:rPr>
        <w:t>2023年度一般公共预算财政拨款收入</w:t>
      </w:r>
      <w:r>
        <w:rPr>
          <w:rFonts w:hint="default" w:ascii="Times New Roman" w:hAnsi="Times New Roman" w:eastAsia="方正仿宋_GBK" w:cs="Times New Roman"/>
          <w:color w:val="auto"/>
          <w:sz w:val="32"/>
          <w:szCs w:val="32"/>
        </w:rPr>
        <w:t>2899.11</w:t>
      </w:r>
      <w:r>
        <w:rPr>
          <w:rFonts w:hint="default" w:ascii="Times New Roman" w:hAnsi="Times New Roman" w:eastAsia="方正仿宋_GBK" w:cs="Times New Roman"/>
          <w:color w:val="auto"/>
          <w:sz w:val="32"/>
          <w:szCs w:val="32"/>
          <w:shd w:val="clear" w:color="auto" w:fill="FFFFFF"/>
        </w:rPr>
        <w:t>万元，较上年决算数增加175.67万元，增长6.</w:t>
      </w:r>
      <w:r>
        <w:rPr>
          <w:rFonts w:hint="default" w:ascii="Times New Roman" w:hAnsi="Times New Roman" w:eastAsia="方正仿宋_GBK" w:cs="Times New Roman"/>
          <w:color w:val="auto"/>
          <w:sz w:val="32"/>
          <w:szCs w:val="32"/>
          <w:shd w:val="clear" w:color="auto" w:fill="FFFFFF"/>
          <w:lang w:val="en-US" w:eastAsia="zh-CN"/>
        </w:rPr>
        <w:t>5</w:t>
      </w:r>
      <w:r>
        <w:rPr>
          <w:rFonts w:hint="default" w:ascii="Times New Roman" w:hAnsi="Times New Roman" w:eastAsia="方正仿宋_GBK" w:cs="Times New Roman"/>
          <w:color w:val="auto"/>
          <w:sz w:val="32"/>
          <w:szCs w:val="32"/>
          <w:shd w:val="clear" w:color="auto" w:fill="FFFFFF"/>
        </w:rPr>
        <w:t>%。主要原因是协管人员工资、社保调标</w:t>
      </w:r>
      <w:r>
        <w:rPr>
          <w:rFonts w:hint="default" w:ascii="Times New Roman" w:hAnsi="Times New Roman" w:eastAsia="方正仿宋_GBK" w:cs="Times New Roman"/>
          <w:color w:val="auto"/>
          <w:sz w:val="32"/>
          <w:szCs w:val="32"/>
          <w:shd w:val="clear" w:color="auto" w:fill="FFFFFF"/>
          <w:lang w:eastAsia="zh-CN"/>
        </w:rPr>
        <w:t>。</w:t>
      </w:r>
      <w:r>
        <w:rPr>
          <w:rFonts w:hint="default" w:ascii="Times New Roman" w:hAnsi="Times New Roman" w:eastAsia="方正仿宋_GBK" w:cs="Times New Roman"/>
          <w:color w:val="auto"/>
          <w:sz w:val="32"/>
          <w:szCs w:val="32"/>
          <w:shd w:val="clear" w:color="auto" w:fill="FFFFFF"/>
        </w:rPr>
        <w:t>较年初预算数减少401.66万元，下降12.</w:t>
      </w:r>
      <w:r>
        <w:rPr>
          <w:rFonts w:hint="default" w:ascii="Times New Roman" w:hAnsi="Times New Roman" w:eastAsia="方正仿宋_GBK" w:cs="Times New Roman"/>
          <w:color w:val="auto"/>
          <w:sz w:val="32"/>
          <w:szCs w:val="32"/>
          <w:shd w:val="clear" w:color="auto" w:fill="FFFFFF"/>
          <w:lang w:val="en-US" w:eastAsia="zh-CN"/>
        </w:rPr>
        <w:t>2</w:t>
      </w:r>
      <w:r>
        <w:rPr>
          <w:rFonts w:hint="default" w:ascii="Times New Roman" w:hAnsi="Times New Roman" w:eastAsia="方正仿宋_GBK" w:cs="Times New Roman"/>
          <w:color w:val="auto"/>
          <w:sz w:val="32"/>
          <w:szCs w:val="32"/>
          <w:shd w:val="clear" w:color="auto" w:fill="FFFFFF"/>
        </w:rPr>
        <w:t>%。主要原因是</w:t>
      </w:r>
      <w:r>
        <w:rPr>
          <w:rFonts w:hint="default" w:ascii="Times New Roman" w:hAnsi="Times New Roman" w:eastAsia="方正仿宋_GBK" w:cs="Times New Roman"/>
          <w:color w:val="auto"/>
          <w:sz w:val="32"/>
          <w:szCs w:val="32"/>
          <w:shd w:val="clear" w:color="auto" w:fill="FFFFFF"/>
          <w:lang w:eastAsia="zh-CN"/>
        </w:rPr>
        <w:t>协管人员流动性较大</w:t>
      </w:r>
      <w:r>
        <w:rPr>
          <w:rFonts w:hint="eastAsia" w:ascii="Times New Roman" w:hAnsi="Times New Roman" w:eastAsia="方正仿宋_GBK" w:cs="Times New Roman"/>
          <w:color w:val="auto"/>
          <w:sz w:val="32"/>
          <w:szCs w:val="32"/>
          <w:shd w:val="clear" w:color="auto" w:fill="FFFFFF"/>
          <w:lang w:eastAsia="zh-CN"/>
        </w:rPr>
        <w:t>，人员变动频繁</w:t>
      </w:r>
      <w:r>
        <w:rPr>
          <w:rFonts w:hint="default" w:ascii="Times New Roman" w:hAnsi="Times New Roman" w:eastAsia="方正仿宋_GBK" w:cs="Times New Roman"/>
          <w:color w:val="auto"/>
          <w:sz w:val="32"/>
          <w:szCs w:val="32"/>
          <w:shd w:val="clear" w:color="auto" w:fill="FFFFFF"/>
          <w:lang w:eastAsia="zh-CN"/>
        </w:rPr>
        <w:t>。</w:t>
      </w:r>
      <w:r>
        <w:rPr>
          <w:rFonts w:hint="default" w:ascii="Times New Roman" w:hAnsi="Times New Roman" w:eastAsia="方正仿宋_GBK" w:cs="Times New Roman"/>
          <w:color w:val="auto"/>
          <w:sz w:val="32"/>
          <w:szCs w:val="32"/>
          <w:shd w:val="clear" w:color="auto" w:fill="FFFFFF"/>
        </w:rPr>
        <w:t>此外，年初财政拨款结转和结余</w:t>
      </w:r>
      <w:r>
        <w:rPr>
          <w:rFonts w:hint="default" w:ascii="Times New Roman" w:hAnsi="Times New Roman" w:eastAsia="方正仿宋_GBK" w:cs="Times New Roman"/>
          <w:color w:val="auto"/>
          <w:sz w:val="32"/>
          <w:szCs w:val="32"/>
          <w:lang w:val="en-US" w:eastAsia="zh-CN"/>
        </w:rPr>
        <w:t>0</w:t>
      </w:r>
      <w:r>
        <w:rPr>
          <w:rFonts w:hint="default" w:ascii="Times New Roman" w:hAnsi="Times New Roman" w:eastAsia="方正仿宋_GBK" w:cs="Times New Roman"/>
          <w:color w:val="auto"/>
          <w:sz w:val="32"/>
          <w:szCs w:val="32"/>
          <w:shd w:val="clear" w:color="auto" w:fill="FFFFFF"/>
        </w:rPr>
        <w:t>万元。</w:t>
      </w:r>
    </w:p>
    <w:p>
      <w:pPr>
        <w:pStyle w:val="5"/>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sz w:val="32"/>
          <w:szCs w:val="32"/>
          <w:shd w:val="clear" w:color="auto" w:fill="FFFFFF"/>
          <w:lang w:eastAsia="zh-CN"/>
        </w:rPr>
      </w:pPr>
      <w:r>
        <w:rPr>
          <w:rStyle w:val="9"/>
          <w:rFonts w:hint="default" w:ascii="Times New Roman" w:hAnsi="Times New Roman" w:eastAsia="方正仿宋_GBK" w:cs="Times New Roman"/>
          <w:color w:val="auto"/>
          <w:sz w:val="32"/>
          <w:szCs w:val="32"/>
          <w:shd w:val="clear" w:color="auto" w:fill="FFFFFF"/>
        </w:rPr>
        <w:t>2.支出情况。</w:t>
      </w:r>
      <w:r>
        <w:rPr>
          <w:rFonts w:hint="default" w:ascii="Times New Roman" w:hAnsi="Times New Roman" w:eastAsia="方正仿宋_GBK" w:cs="Times New Roman"/>
          <w:color w:val="auto"/>
          <w:sz w:val="32"/>
          <w:szCs w:val="32"/>
          <w:shd w:val="clear" w:color="auto" w:fill="FFFFFF"/>
        </w:rPr>
        <w:t>2023年度一般公共预算财政拨款支出</w:t>
      </w:r>
      <w:r>
        <w:rPr>
          <w:rFonts w:hint="default" w:ascii="Times New Roman" w:hAnsi="Times New Roman" w:eastAsia="方正仿宋_GBK" w:cs="Times New Roman"/>
          <w:color w:val="auto"/>
          <w:sz w:val="32"/>
          <w:szCs w:val="32"/>
        </w:rPr>
        <w:t>2899.11</w:t>
      </w:r>
      <w:r>
        <w:rPr>
          <w:rFonts w:hint="default" w:ascii="Times New Roman" w:hAnsi="Times New Roman" w:eastAsia="方正仿宋_GBK" w:cs="Times New Roman"/>
          <w:color w:val="auto"/>
          <w:sz w:val="32"/>
          <w:szCs w:val="32"/>
          <w:shd w:val="clear" w:color="auto" w:fill="FFFFFF"/>
        </w:rPr>
        <w:t>万元，较上年决算数增加175.67万元，增长6.</w:t>
      </w:r>
      <w:r>
        <w:rPr>
          <w:rFonts w:hint="default" w:ascii="Times New Roman" w:hAnsi="Times New Roman" w:eastAsia="方正仿宋_GBK" w:cs="Times New Roman"/>
          <w:color w:val="auto"/>
          <w:sz w:val="32"/>
          <w:szCs w:val="32"/>
          <w:shd w:val="clear" w:color="auto" w:fill="FFFFFF"/>
          <w:lang w:val="en-US" w:eastAsia="zh-CN"/>
        </w:rPr>
        <w:t>5</w:t>
      </w:r>
      <w:r>
        <w:rPr>
          <w:rFonts w:hint="default" w:ascii="Times New Roman" w:hAnsi="Times New Roman" w:eastAsia="方正仿宋_GBK" w:cs="Times New Roman"/>
          <w:color w:val="auto"/>
          <w:sz w:val="32"/>
          <w:szCs w:val="32"/>
          <w:shd w:val="clear" w:color="auto" w:fill="FFFFFF"/>
        </w:rPr>
        <w:t>%。主要原因是协管人员工资社保调标</w:t>
      </w:r>
      <w:r>
        <w:rPr>
          <w:rFonts w:hint="default" w:ascii="Times New Roman" w:hAnsi="Times New Roman" w:eastAsia="方正仿宋_GBK" w:cs="Times New Roman"/>
          <w:color w:val="auto"/>
          <w:sz w:val="32"/>
          <w:szCs w:val="32"/>
          <w:shd w:val="clear" w:color="auto" w:fill="FFFFFF"/>
          <w:lang w:eastAsia="zh-CN"/>
        </w:rPr>
        <w:t>。</w:t>
      </w:r>
      <w:r>
        <w:rPr>
          <w:rFonts w:hint="default" w:ascii="Times New Roman" w:hAnsi="Times New Roman" w:eastAsia="方正仿宋_GBK" w:cs="Times New Roman"/>
          <w:color w:val="auto"/>
          <w:sz w:val="32"/>
          <w:szCs w:val="32"/>
          <w:shd w:val="clear" w:color="auto" w:fill="FFFFFF"/>
        </w:rPr>
        <w:t>较年初预算数减少401.66万元，下降12.</w:t>
      </w:r>
      <w:r>
        <w:rPr>
          <w:rFonts w:hint="default" w:ascii="Times New Roman" w:hAnsi="Times New Roman" w:eastAsia="方正仿宋_GBK" w:cs="Times New Roman"/>
          <w:color w:val="auto"/>
          <w:sz w:val="32"/>
          <w:szCs w:val="32"/>
          <w:shd w:val="clear" w:color="auto" w:fill="FFFFFF"/>
          <w:lang w:val="en-US" w:eastAsia="zh-CN"/>
        </w:rPr>
        <w:t>2</w:t>
      </w:r>
      <w:r>
        <w:rPr>
          <w:rFonts w:hint="default" w:ascii="Times New Roman" w:hAnsi="Times New Roman" w:eastAsia="方正仿宋_GBK" w:cs="Times New Roman"/>
          <w:color w:val="auto"/>
          <w:sz w:val="32"/>
          <w:szCs w:val="32"/>
          <w:shd w:val="clear" w:color="auto" w:fill="FFFFFF"/>
        </w:rPr>
        <w:t>%。主要原因是</w:t>
      </w:r>
      <w:r>
        <w:rPr>
          <w:rFonts w:hint="default" w:ascii="Times New Roman" w:hAnsi="Times New Roman" w:eastAsia="方正仿宋_GBK" w:cs="Times New Roman"/>
          <w:color w:val="auto"/>
          <w:sz w:val="32"/>
          <w:szCs w:val="32"/>
          <w:shd w:val="clear" w:color="auto" w:fill="FFFFFF"/>
          <w:lang w:eastAsia="zh-CN"/>
        </w:rPr>
        <w:t>协管人员流动性较大</w:t>
      </w:r>
      <w:r>
        <w:rPr>
          <w:rFonts w:hint="eastAsia" w:ascii="Times New Roman" w:hAnsi="Times New Roman" w:eastAsia="方正仿宋_GBK" w:cs="Times New Roman"/>
          <w:color w:val="auto"/>
          <w:sz w:val="32"/>
          <w:szCs w:val="32"/>
          <w:shd w:val="clear" w:color="auto" w:fill="FFFFFF"/>
          <w:lang w:eastAsia="zh-CN"/>
        </w:rPr>
        <w:t>，人员变动频繁</w:t>
      </w:r>
      <w:r>
        <w:rPr>
          <w:rFonts w:hint="default" w:ascii="Times New Roman" w:hAnsi="Times New Roman" w:eastAsia="方正仿宋_GBK" w:cs="Times New Roman"/>
          <w:color w:val="auto"/>
          <w:sz w:val="32"/>
          <w:szCs w:val="32"/>
          <w:shd w:val="clear" w:color="auto" w:fill="FFFFFF"/>
          <w:lang w:eastAsia="zh-CN"/>
        </w:rPr>
        <w:t>。</w:t>
      </w:r>
    </w:p>
    <w:p>
      <w:pPr>
        <w:pStyle w:val="5"/>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sz w:val="32"/>
          <w:szCs w:val="32"/>
          <w:shd w:val="clear" w:color="auto" w:fill="FFFFFF"/>
          <w:lang w:eastAsia="zh-CN"/>
        </w:rPr>
      </w:pPr>
      <w:r>
        <w:rPr>
          <w:rStyle w:val="9"/>
          <w:rFonts w:hint="default" w:ascii="Times New Roman" w:hAnsi="Times New Roman" w:eastAsia="方正仿宋_GBK" w:cs="Times New Roman"/>
          <w:color w:val="auto"/>
          <w:sz w:val="32"/>
          <w:szCs w:val="32"/>
          <w:shd w:val="clear" w:color="auto" w:fill="FFFFFF"/>
        </w:rPr>
        <w:t>3.结转结余情况。</w:t>
      </w:r>
      <w:r>
        <w:rPr>
          <w:rFonts w:hint="default" w:ascii="Times New Roman" w:hAnsi="Times New Roman" w:eastAsia="方正仿宋_GBK" w:cs="Times New Roman"/>
          <w:color w:val="auto"/>
          <w:sz w:val="32"/>
          <w:szCs w:val="32"/>
          <w:shd w:val="clear" w:color="auto" w:fill="FFFFFF"/>
        </w:rPr>
        <w:t>2023年度年末一般公共预算财政拨款结转和结余</w:t>
      </w:r>
      <w:r>
        <w:rPr>
          <w:rFonts w:hint="default" w:ascii="Times New Roman" w:hAnsi="Times New Roman" w:eastAsia="方正仿宋_GBK" w:cs="Times New Roman"/>
          <w:color w:val="auto"/>
          <w:sz w:val="32"/>
          <w:szCs w:val="32"/>
          <w:lang w:val="en-US" w:eastAsia="zh-CN"/>
        </w:rPr>
        <w:t>0</w:t>
      </w:r>
      <w:r>
        <w:rPr>
          <w:rFonts w:hint="default" w:ascii="Times New Roman" w:hAnsi="Times New Roman" w:eastAsia="方正仿宋_GBK" w:cs="Times New Roman"/>
          <w:color w:val="auto"/>
          <w:sz w:val="32"/>
          <w:szCs w:val="32"/>
          <w:shd w:val="clear" w:color="auto" w:fill="FFFFFF"/>
        </w:rPr>
        <w:t>万元，较上年决算数无增减</w:t>
      </w:r>
      <w:r>
        <w:rPr>
          <w:rFonts w:hint="default" w:ascii="Times New Roman" w:hAnsi="Times New Roman" w:eastAsia="方正仿宋_GBK" w:cs="Times New Roman"/>
          <w:color w:val="auto"/>
          <w:sz w:val="32"/>
          <w:szCs w:val="32"/>
          <w:shd w:val="clear" w:color="auto" w:fill="FFFFFF"/>
          <w:lang w:eastAsia="zh-CN"/>
        </w:rPr>
        <w:t>。</w:t>
      </w:r>
    </w:p>
    <w:p>
      <w:pPr>
        <w:pStyle w:val="5"/>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sz w:val="32"/>
          <w:szCs w:val="32"/>
          <w:highlight w:val="cyan"/>
          <w:shd w:val="clear" w:color="auto" w:fill="FFFFFF"/>
        </w:rPr>
      </w:pPr>
      <w:r>
        <w:rPr>
          <w:rStyle w:val="9"/>
          <w:rFonts w:hint="default" w:ascii="Times New Roman" w:hAnsi="Times New Roman" w:eastAsia="方正仿宋_GBK" w:cs="Times New Roman"/>
          <w:color w:val="auto"/>
          <w:sz w:val="32"/>
          <w:szCs w:val="32"/>
          <w:shd w:val="clear" w:color="auto" w:fill="FFFFFF"/>
        </w:rPr>
        <w:t>4.比较情况。</w:t>
      </w:r>
      <w:r>
        <w:rPr>
          <w:rFonts w:hint="default" w:ascii="Times New Roman" w:hAnsi="Times New Roman" w:eastAsia="方正仿宋_GBK" w:cs="Times New Roman"/>
          <w:color w:val="auto"/>
          <w:sz w:val="32"/>
          <w:szCs w:val="32"/>
          <w:shd w:val="clear" w:color="auto" w:fill="FFFFFF"/>
        </w:rPr>
        <w:t>本部门2023年度一般公共预算财政拨款支出主要用于以下几个方面：</w:t>
      </w:r>
    </w:p>
    <w:p>
      <w:pPr>
        <w:pStyle w:val="5"/>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sz w:val="32"/>
          <w:szCs w:val="32"/>
          <w:shd w:val="clear" w:color="auto" w:fill="FFFFFF"/>
          <w:lang w:eastAsia="zh-CN"/>
        </w:rPr>
      </w:pPr>
      <w:r>
        <w:rPr>
          <w:rFonts w:hint="default" w:ascii="Times New Roman" w:hAnsi="Times New Roman" w:eastAsia="方正仿宋_GBK" w:cs="Times New Roman"/>
          <w:color w:val="auto"/>
          <w:sz w:val="32"/>
          <w:szCs w:val="32"/>
          <w:shd w:val="clear" w:color="auto" w:fill="FFFFFF"/>
        </w:rPr>
        <w:t>（</w:t>
      </w:r>
      <w:r>
        <w:rPr>
          <w:rFonts w:hint="default" w:ascii="Times New Roman" w:hAnsi="Times New Roman" w:eastAsia="方正仿宋_GBK" w:cs="Times New Roman"/>
          <w:color w:val="auto"/>
          <w:sz w:val="32"/>
          <w:szCs w:val="32"/>
          <w:shd w:val="clear" w:color="auto" w:fill="FFFFFF"/>
          <w:lang w:val="en-US" w:eastAsia="zh-CN"/>
        </w:rPr>
        <w:t>1</w:t>
      </w:r>
      <w:r>
        <w:rPr>
          <w:rFonts w:hint="default" w:ascii="Times New Roman" w:hAnsi="Times New Roman" w:eastAsia="方正仿宋_GBK" w:cs="Times New Roman"/>
          <w:color w:val="auto"/>
          <w:sz w:val="32"/>
          <w:szCs w:val="32"/>
          <w:shd w:val="clear" w:color="auto" w:fill="FFFFFF"/>
        </w:rPr>
        <w:t>）教育支出</w:t>
      </w:r>
      <w:r>
        <w:rPr>
          <w:rFonts w:hint="default" w:ascii="Times New Roman" w:hAnsi="Times New Roman" w:eastAsia="方正仿宋_GBK" w:cs="Times New Roman"/>
          <w:color w:val="auto"/>
          <w:sz w:val="32"/>
          <w:szCs w:val="32"/>
        </w:rPr>
        <w:t>5.64</w:t>
      </w:r>
      <w:r>
        <w:rPr>
          <w:rFonts w:hint="default" w:ascii="Times New Roman" w:hAnsi="Times New Roman" w:eastAsia="方正仿宋_GBK" w:cs="Times New Roman"/>
          <w:color w:val="auto"/>
          <w:sz w:val="32"/>
          <w:szCs w:val="32"/>
          <w:shd w:val="clear" w:color="auto" w:fill="FFFFFF"/>
        </w:rPr>
        <w:t>万元，占</w:t>
      </w:r>
      <w:r>
        <w:rPr>
          <w:rFonts w:hint="default" w:ascii="Times New Roman" w:hAnsi="Times New Roman" w:eastAsia="方正仿宋_GBK" w:cs="Times New Roman"/>
          <w:color w:val="auto"/>
          <w:sz w:val="32"/>
          <w:szCs w:val="32"/>
        </w:rPr>
        <w:t>0.</w:t>
      </w:r>
      <w:r>
        <w:rPr>
          <w:rFonts w:hint="default" w:ascii="Times New Roman" w:hAnsi="Times New Roman" w:eastAsia="方正仿宋_GBK" w:cs="Times New Roman"/>
          <w:color w:val="auto"/>
          <w:sz w:val="32"/>
          <w:szCs w:val="32"/>
          <w:lang w:val="en-US" w:eastAsia="zh-CN"/>
        </w:rPr>
        <w:t>2</w:t>
      </w:r>
      <w:r>
        <w:rPr>
          <w:rFonts w:hint="default" w:ascii="Times New Roman" w:hAnsi="Times New Roman" w:eastAsia="方正仿宋_GBK" w:cs="Times New Roman"/>
          <w:color w:val="auto"/>
          <w:sz w:val="32"/>
          <w:szCs w:val="32"/>
          <w:shd w:val="clear" w:color="auto" w:fill="FFFFFF"/>
        </w:rPr>
        <w:t>%，较年初预算数减少0.67万元，下降10.6%，主要原因是</w:t>
      </w:r>
      <w:r>
        <w:rPr>
          <w:rFonts w:hint="default" w:ascii="Times New Roman" w:hAnsi="Times New Roman" w:eastAsia="方正仿宋_GBK" w:cs="Times New Roman"/>
          <w:color w:val="auto"/>
          <w:sz w:val="32"/>
          <w:szCs w:val="32"/>
          <w:shd w:val="clear" w:color="auto" w:fill="FFFFFF"/>
          <w:lang w:eastAsia="zh-CN"/>
        </w:rPr>
        <w:t>厉行节俭。</w:t>
      </w:r>
    </w:p>
    <w:p>
      <w:pPr>
        <w:pStyle w:val="5"/>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sz w:val="32"/>
          <w:szCs w:val="32"/>
          <w:shd w:val="clear" w:color="auto" w:fill="FFFFFF"/>
          <w:lang w:val="en-US" w:eastAsia="zh-CN"/>
        </w:rPr>
      </w:pPr>
      <w:r>
        <w:rPr>
          <w:rFonts w:hint="default" w:ascii="Times New Roman" w:hAnsi="Times New Roman" w:eastAsia="方正仿宋_GBK" w:cs="Times New Roman"/>
          <w:color w:val="auto"/>
          <w:sz w:val="32"/>
          <w:szCs w:val="32"/>
          <w:shd w:val="clear" w:color="auto" w:fill="FFFFFF"/>
        </w:rPr>
        <w:t>（</w:t>
      </w:r>
      <w:r>
        <w:rPr>
          <w:rFonts w:hint="default" w:ascii="Times New Roman" w:hAnsi="Times New Roman" w:eastAsia="方正仿宋_GBK" w:cs="Times New Roman"/>
          <w:color w:val="auto"/>
          <w:sz w:val="32"/>
          <w:szCs w:val="32"/>
          <w:shd w:val="clear" w:color="auto" w:fill="FFFFFF"/>
          <w:lang w:val="en-US" w:eastAsia="zh-CN"/>
        </w:rPr>
        <w:t>2</w:t>
      </w:r>
      <w:r>
        <w:rPr>
          <w:rFonts w:hint="default" w:ascii="Times New Roman" w:hAnsi="Times New Roman" w:eastAsia="方正仿宋_GBK" w:cs="Times New Roman"/>
          <w:color w:val="auto"/>
          <w:sz w:val="32"/>
          <w:szCs w:val="32"/>
          <w:shd w:val="clear" w:color="auto" w:fill="FFFFFF"/>
        </w:rPr>
        <w:t>）社会保障</w:t>
      </w:r>
      <w:r>
        <w:rPr>
          <w:rFonts w:hint="eastAsia" w:ascii="Times New Roman" w:hAnsi="Times New Roman" w:eastAsia="方正仿宋_GBK" w:cs="Times New Roman"/>
          <w:color w:val="auto"/>
          <w:sz w:val="32"/>
          <w:szCs w:val="32"/>
          <w:shd w:val="clear" w:color="auto" w:fill="FFFFFF"/>
          <w:lang w:val="en-US" w:eastAsia="zh-CN"/>
        </w:rPr>
        <w:t>和</w:t>
      </w:r>
      <w:r>
        <w:rPr>
          <w:rFonts w:hint="default" w:ascii="Times New Roman" w:hAnsi="Times New Roman" w:eastAsia="方正仿宋_GBK" w:cs="Times New Roman"/>
          <w:color w:val="auto"/>
          <w:sz w:val="32"/>
          <w:szCs w:val="32"/>
          <w:shd w:val="clear" w:color="auto" w:fill="FFFFFF"/>
        </w:rPr>
        <w:t>就业支出</w:t>
      </w:r>
      <w:r>
        <w:rPr>
          <w:rFonts w:hint="default" w:ascii="Times New Roman" w:hAnsi="Times New Roman" w:eastAsia="方正仿宋_GBK" w:cs="Times New Roman"/>
          <w:color w:val="auto"/>
          <w:sz w:val="32"/>
          <w:szCs w:val="32"/>
        </w:rPr>
        <w:t>174.49</w:t>
      </w:r>
      <w:r>
        <w:rPr>
          <w:rFonts w:hint="default" w:ascii="Times New Roman" w:hAnsi="Times New Roman" w:eastAsia="方正仿宋_GBK" w:cs="Times New Roman"/>
          <w:color w:val="auto"/>
          <w:sz w:val="32"/>
          <w:szCs w:val="32"/>
          <w:shd w:val="clear" w:color="auto" w:fill="FFFFFF"/>
        </w:rPr>
        <w:t>万元，占</w:t>
      </w:r>
      <w:r>
        <w:rPr>
          <w:rFonts w:hint="default" w:ascii="Times New Roman" w:hAnsi="Times New Roman" w:eastAsia="方正仿宋_GBK" w:cs="Times New Roman"/>
          <w:color w:val="auto"/>
          <w:sz w:val="32"/>
          <w:szCs w:val="32"/>
        </w:rPr>
        <w:t>6.0</w:t>
      </w:r>
      <w:r>
        <w:rPr>
          <w:rFonts w:hint="default" w:ascii="Times New Roman" w:hAnsi="Times New Roman" w:eastAsia="方正仿宋_GBK" w:cs="Times New Roman"/>
          <w:color w:val="auto"/>
          <w:sz w:val="32"/>
          <w:szCs w:val="32"/>
          <w:shd w:val="clear" w:color="auto" w:fill="FFFFFF"/>
        </w:rPr>
        <w:t>%，较年初预算数增加1.84万元，增长1.</w:t>
      </w:r>
      <w:r>
        <w:rPr>
          <w:rFonts w:hint="default" w:ascii="Times New Roman" w:hAnsi="Times New Roman" w:eastAsia="方正仿宋_GBK" w:cs="Times New Roman"/>
          <w:color w:val="auto"/>
          <w:sz w:val="32"/>
          <w:szCs w:val="32"/>
          <w:shd w:val="clear" w:color="auto" w:fill="FFFFFF"/>
          <w:lang w:val="en-US" w:eastAsia="zh-CN"/>
        </w:rPr>
        <w:t>1</w:t>
      </w:r>
      <w:r>
        <w:rPr>
          <w:rFonts w:hint="default" w:ascii="Times New Roman" w:hAnsi="Times New Roman" w:eastAsia="方正仿宋_GBK" w:cs="Times New Roman"/>
          <w:color w:val="auto"/>
          <w:sz w:val="32"/>
          <w:szCs w:val="32"/>
          <w:shd w:val="clear" w:color="auto" w:fill="FFFFFF"/>
        </w:rPr>
        <w:t>%，主要原因是</w:t>
      </w:r>
      <w:r>
        <w:rPr>
          <w:rFonts w:hint="eastAsia" w:ascii="Times New Roman" w:hAnsi="Times New Roman" w:eastAsia="方正仿宋_GBK" w:cs="Times New Roman"/>
          <w:color w:val="auto"/>
          <w:sz w:val="32"/>
          <w:szCs w:val="32"/>
          <w:shd w:val="clear" w:color="auto" w:fill="FFFFFF"/>
          <w:lang w:eastAsia="zh-CN"/>
        </w:rPr>
        <w:t>人员变动</w:t>
      </w:r>
      <w:r>
        <w:rPr>
          <w:rFonts w:hint="default" w:ascii="Times New Roman" w:hAnsi="Times New Roman" w:eastAsia="方正仿宋_GBK" w:cs="Times New Roman"/>
          <w:color w:val="auto"/>
          <w:sz w:val="32"/>
          <w:szCs w:val="32"/>
          <w:shd w:val="clear" w:color="auto" w:fill="FFFFFF"/>
          <w:lang w:eastAsia="zh-CN"/>
        </w:rPr>
        <w:t>。</w:t>
      </w:r>
    </w:p>
    <w:p>
      <w:pPr>
        <w:pStyle w:val="5"/>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sz w:val="32"/>
          <w:szCs w:val="32"/>
          <w:shd w:val="clear" w:color="auto" w:fill="FFFFFF"/>
          <w:lang w:eastAsia="zh-CN"/>
        </w:rPr>
      </w:pPr>
      <w:r>
        <w:rPr>
          <w:rFonts w:hint="default" w:ascii="Times New Roman" w:hAnsi="Times New Roman" w:eastAsia="方正仿宋_GBK" w:cs="Times New Roman"/>
          <w:color w:val="auto"/>
          <w:sz w:val="32"/>
          <w:szCs w:val="32"/>
          <w:shd w:val="clear" w:color="auto" w:fill="FFFFFF"/>
        </w:rPr>
        <w:t>（</w:t>
      </w:r>
      <w:r>
        <w:rPr>
          <w:rFonts w:hint="default" w:ascii="Times New Roman" w:hAnsi="Times New Roman" w:eastAsia="方正仿宋_GBK" w:cs="Times New Roman"/>
          <w:color w:val="auto"/>
          <w:sz w:val="32"/>
          <w:szCs w:val="32"/>
          <w:shd w:val="clear" w:color="auto" w:fill="FFFFFF"/>
          <w:lang w:val="en-US" w:eastAsia="zh-CN"/>
        </w:rPr>
        <w:t>3</w:t>
      </w:r>
      <w:r>
        <w:rPr>
          <w:rFonts w:hint="default" w:ascii="Times New Roman" w:hAnsi="Times New Roman" w:eastAsia="方正仿宋_GBK" w:cs="Times New Roman"/>
          <w:color w:val="auto"/>
          <w:sz w:val="32"/>
          <w:szCs w:val="32"/>
          <w:shd w:val="clear" w:color="auto" w:fill="FFFFFF"/>
        </w:rPr>
        <w:t>）卫生健康支出</w:t>
      </w:r>
      <w:r>
        <w:rPr>
          <w:rFonts w:hint="default" w:ascii="Times New Roman" w:hAnsi="Times New Roman" w:eastAsia="方正仿宋_GBK" w:cs="Times New Roman"/>
          <w:color w:val="auto"/>
          <w:sz w:val="32"/>
          <w:szCs w:val="32"/>
        </w:rPr>
        <w:t>80.66</w:t>
      </w:r>
      <w:r>
        <w:rPr>
          <w:rFonts w:hint="default" w:ascii="Times New Roman" w:hAnsi="Times New Roman" w:eastAsia="方正仿宋_GBK" w:cs="Times New Roman"/>
          <w:color w:val="auto"/>
          <w:sz w:val="32"/>
          <w:szCs w:val="32"/>
          <w:shd w:val="clear" w:color="auto" w:fill="FFFFFF"/>
        </w:rPr>
        <w:t>万元，占</w:t>
      </w:r>
      <w:r>
        <w:rPr>
          <w:rFonts w:hint="default" w:ascii="Times New Roman" w:hAnsi="Times New Roman" w:eastAsia="方正仿宋_GBK" w:cs="Times New Roman"/>
          <w:color w:val="auto"/>
          <w:sz w:val="32"/>
          <w:szCs w:val="32"/>
        </w:rPr>
        <w:t>2.</w:t>
      </w:r>
      <w:r>
        <w:rPr>
          <w:rFonts w:hint="default" w:ascii="Times New Roman" w:hAnsi="Times New Roman" w:eastAsia="方正仿宋_GBK" w:cs="Times New Roman"/>
          <w:color w:val="auto"/>
          <w:sz w:val="32"/>
          <w:szCs w:val="32"/>
          <w:lang w:val="en-US" w:eastAsia="zh-CN"/>
        </w:rPr>
        <w:t>8</w:t>
      </w:r>
      <w:r>
        <w:rPr>
          <w:rFonts w:hint="default" w:ascii="Times New Roman" w:hAnsi="Times New Roman" w:eastAsia="方正仿宋_GBK" w:cs="Times New Roman"/>
          <w:color w:val="auto"/>
          <w:sz w:val="32"/>
          <w:szCs w:val="32"/>
          <w:shd w:val="clear" w:color="auto" w:fill="FFFFFF"/>
        </w:rPr>
        <w:t>%，较年初预算数增加3.21万元，增长4.1%，主要原因是</w:t>
      </w:r>
      <w:r>
        <w:rPr>
          <w:rFonts w:hint="eastAsia" w:ascii="Times New Roman" w:hAnsi="Times New Roman" w:eastAsia="方正仿宋_GBK" w:cs="Times New Roman"/>
          <w:color w:val="auto"/>
          <w:sz w:val="32"/>
          <w:szCs w:val="32"/>
          <w:shd w:val="clear" w:color="auto" w:fill="FFFFFF"/>
          <w:lang w:eastAsia="zh-CN"/>
        </w:rPr>
        <w:t>人员变动</w:t>
      </w:r>
      <w:r>
        <w:rPr>
          <w:rFonts w:hint="default" w:ascii="Times New Roman" w:hAnsi="Times New Roman" w:eastAsia="方正仿宋_GBK" w:cs="Times New Roman"/>
          <w:color w:val="auto"/>
          <w:sz w:val="32"/>
          <w:szCs w:val="32"/>
          <w:shd w:val="clear" w:color="auto" w:fill="FFFFFF"/>
          <w:lang w:eastAsia="zh-CN"/>
        </w:rPr>
        <w:t>。</w:t>
      </w:r>
    </w:p>
    <w:p>
      <w:pPr>
        <w:pStyle w:val="5"/>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shd w:val="clear" w:color="auto" w:fill="FFFFFF"/>
        </w:rPr>
        <w:t>（</w:t>
      </w:r>
      <w:r>
        <w:rPr>
          <w:rFonts w:hint="default" w:ascii="Times New Roman" w:hAnsi="Times New Roman" w:eastAsia="方正仿宋_GBK" w:cs="Times New Roman"/>
          <w:color w:val="auto"/>
          <w:sz w:val="32"/>
          <w:szCs w:val="32"/>
          <w:shd w:val="clear" w:color="auto" w:fill="FFFFFF"/>
          <w:lang w:val="en-US" w:eastAsia="zh-CN"/>
        </w:rPr>
        <w:t>4</w:t>
      </w:r>
      <w:r>
        <w:rPr>
          <w:rFonts w:hint="default" w:ascii="Times New Roman" w:hAnsi="Times New Roman" w:eastAsia="方正仿宋_GBK" w:cs="Times New Roman"/>
          <w:color w:val="auto"/>
          <w:sz w:val="32"/>
          <w:szCs w:val="32"/>
          <w:shd w:val="clear" w:color="auto" w:fill="FFFFFF"/>
        </w:rPr>
        <w:t>）城乡社区支出</w:t>
      </w:r>
      <w:r>
        <w:rPr>
          <w:rFonts w:hint="default" w:ascii="Times New Roman" w:hAnsi="Times New Roman" w:eastAsia="方正仿宋_GBK" w:cs="Times New Roman"/>
          <w:color w:val="auto"/>
          <w:sz w:val="32"/>
          <w:szCs w:val="32"/>
        </w:rPr>
        <w:t>2559.12</w:t>
      </w:r>
      <w:r>
        <w:rPr>
          <w:rFonts w:hint="default" w:ascii="Times New Roman" w:hAnsi="Times New Roman" w:eastAsia="方正仿宋_GBK" w:cs="Times New Roman"/>
          <w:color w:val="auto"/>
          <w:sz w:val="32"/>
          <w:szCs w:val="32"/>
          <w:shd w:val="clear" w:color="auto" w:fill="FFFFFF"/>
        </w:rPr>
        <w:t>万元，占</w:t>
      </w:r>
      <w:r>
        <w:rPr>
          <w:rFonts w:hint="default" w:ascii="Times New Roman" w:hAnsi="Times New Roman" w:eastAsia="方正仿宋_GBK" w:cs="Times New Roman"/>
          <w:color w:val="auto"/>
          <w:sz w:val="32"/>
          <w:szCs w:val="32"/>
        </w:rPr>
        <w:t>88.</w:t>
      </w:r>
      <w:r>
        <w:rPr>
          <w:rFonts w:hint="default" w:ascii="Times New Roman" w:hAnsi="Times New Roman" w:eastAsia="方正仿宋_GBK" w:cs="Times New Roman"/>
          <w:color w:val="auto"/>
          <w:sz w:val="32"/>
          <w:szCs w:val="32"/>
          <w:lang w:val="en-US" w:eastAsia="zh-CN"/>
        </w:rPr>
        <w:t>3</w:t>
      </w:r>
      <w:r>
        <w:rPr>
          <w:rFonts w:hint="default" w:ascii="Times New Roman" w:hAnsi="Times New Roman" w:eastAsia="方正仿宋_GBK" w:cs="Times New Roman"/>
          <w:color w:val="auto"/>
          <w:sz w:val="32"/>
          <w:szCs w:val="32"/>
          <w:shd w:val="clear" w:color="auto" w:fill="FFFFFF"/>
        </w:rPr>
        <w:t>%，较年初预算数减少389.91万元，下降13.2%，主要原因是</w:t>
      </w:r>
      <w:r>
        <w:rPr>
          <w:rFonts w:hint="default" w:ascii="Times New Roman" w:hAnsi="Times New Roman" w:eastAsia="方正仿宋_GBK" w:cs="Times New Roman"/>
          <w:color w:val="auto"/>
          <w:sz w:val="32"/>
          <w:szCs w:val="32"/>
          <w:shd w:val="clear" w:color="auto" w:fill="FFFFFF"/>
          <w:lang w:eastAsia="zh-CN"/>
        </w:rPr>
        <w:t>协管人员流动性较大</w:t>
      </w:r>
      <w:r>
        <w:rPr>
          <w:rFonts w:hint="eastAsia" w:ascii="Times New Roman" w:hAnsi="Times New Roman" w:eastAsia="方正仿宋_GBK" w:cs="Times New Roman"/>
          <w:color w:val="auto"/>
          <w:sz w:val="32"/>
          <w:szCs w:val="32"/>
          <w:shd w:val="clear" w:color="auto" w:fill="FFFFFF"/>
          <w:lang w:eastAsia="zh-CN"/>
        </w:rPr>
        <w:t>，人员变动频繁</w:t>
      </w:r>
      <w:r>
        <w:rPr>
          <w:rFonts w:hint="default" w:ascii="Times New Roman" w:hAnsi="Times New Roman" w:eastAsia="方正仿宋_GBK" w:cs="Times New Roman"/>
          <w:color w:val="auto"/>
          <w:sz w:val="32"/>
          <w:szCs w:val="32"/>
          <w:shd w:val="clear" w:color="auto" w:fill="FFFFFF"/>
          <w:lang w:eastAsia="zh-CN"/>
        </w:rPr>
        <w:t>。</w:t>
      </w:r>
    </w:p>
    <w:p>
      <w:pPr>
        <w:keepNext w:val="0"/>
        <w:keepLines w:val="0"/>
        <w:pageBreakBefore w:val="0"/>
        <w:kinsoku/>
        <w:wordWrap/>
        <w:overflowPunct/>
        <w:topLinePunct w:val="0"/>
        <w:autoSpaceDN/>
        <w:bidi w:val="0"/>
        <w:adjustRightInd/>
        <w:spacing w:beforeAutospacing="0" w:line="594" w:lineRule="exact"/>
        <w:ind w:firstLine="640" w:firstLineChars="200"/>
        <w:textAlignment w:val="auto"/>
        <w:rPr>
          <w:rFonts w:hint="default" w:ascii="Times New Roman" w:hAnsi="Times New Roman" w:eastAsia="方正仿宋_GBK" w:cs="Times New Roman"/>
          <w:color w:val="auto"/>
          <w:sz w:val="32"/>
          <w:szCs w:val="32"/>
          <w:shd w:val="clear" w:color="auto" w:fill="FFFFFF"/>
          <w:lang w:eastAsia="zh-CN"/>
        </w:rPr>
      </w:pPr>
      <w:r>
        <w:rPr>
          <w:rFonts w:hint="default" w:ascii="Times New Roman" w:hAnsi="Times New Roman" w:eastAsia="方正仿宋_GBK" w:cs="Times New Roman"/>
          <w:color w:val="auto"/>
          <w:sz w:val="32"/>
          <w:szCs w:val="32"/>
          <w:shd w:val="clear" w:color="auto" w:fill="FFFFFF"/>
        </w:rPr>
        <w:t>（</w:t>
      </w:r>
      <w:r>
        <w:rPr>
          <w:rFonts w:hint="default" w:ascii="Times New Roman" w:hAnsi="Times New Roman" w:eastAsia="方正仿宋_GBK" w:cs="Times New Roman"/>
          <w:color w:val="auto"/>
          <w:sz w:val="32"/>
          <w:szCs w:val="32"/>
          <w:shd w:val="clear" w:color="auto" w:fill="FFFFFF"/>
          <w:lang w:val="en-US" w:eastAsia="zh-CN"/>
        </w:rPr>
        <w:t>5</w:t>
      </w:r>
      <w:r>
        <w:rPr>
          <w:rFonts w:hint="default" w:ascii="Times New Roman" w:hAnsi="Times New Roman" w:eastAsia="方正仿宋_GBK" w:cs="Times New Roman"/>
          <w:color w:val="auto"/>
          <w:sz w:val="32"/>
          <w:szCs w:val="32"/>
          <w:shd w:val="clear" w:color="auto" w:fill="FFFFFF"/>
        </w:rPr>
        <w:t>）</w:t>
      </w:r>
      <w:r>
        <w:rPr>
          <w:rFonts w:hint="default" w:ascii="Times New Roman" w:hAnsi="Times New Roman" w:eastAsia="方正仿宋_GBK" w:cs="Times New Roman"/>
          <w:color w:val="auto"/>
          <w:sz w:val="32"/>
          <w:szCs w:val="32"/>
        </w:rPr>
        <w:t>住房保障支出79.19</w:t>
      </w:r>
      <w:r>
        <w:rPr>
          <w:rFonts w:hint="default" w:ascii="Times New Roman" w:hAnsi="Times New Roman" w:eastAsia="方正仿宋_GBK" w:cs="Times New Roman"/>
          <w:color w:val="auto"/>
          <w:sz w:val="32"/>
          <w:szCs w:val="32"/>
          <w:shd w:val="clear" w:color="auto" w:fill="FFFFFF"/>
        </w:rPr>
        <w:t>万元，占</w:t>
      </w:r>
      <w:r>
        <w:rPr>
          <w:rFonts w:hint="default" w:ascii="Times New Roman" w:hAnsi="Times New Roman" w:eastAsia="方正仿宋_GBK" w:cs="Times New Roman"/>
          <w:color w:val="auto"/>
          <w:sz w:val="32"/>
          <w:szCs w:val="32"/>
        </w:rPr>
        <w:t>2.7</w:t>
      </w:r>
      <w:r>
        <w:rPr>
          <w:rFonts w:hint="default" w:ascii="Times New Roman" w:hAnsi="Times New Roman" w:eastAsia="方正仿宋_GBK" w:cs="Times New Roman"/>
          <w:color w:val="auto"/>
          <w:sz w:val="32"/>
          <w:szCs w:val="32"/>
          <w:shd w:val="clear" w:color="auto" w:fill="FFFFFF"/>
        </w:rPr>
        <w:t>%，较年初预算数减少16.15万元，下降16.9%，主要原因是</w:t>
      </w:r>
      <w:r>
        <w:rPr>
          <w:rFonts w:hint="eastAsia" w:ascii="Times New Roman" w:hAnsi="Times New Roman" w:eastAsia="方正仿宋_GBK" w:cs="Times New Roman"/>
          <w:color w:val="auto"/>
          <w:sz w:val="32"/>
          <w:szCs w:val="32"/>
          <w:shd w:val="clear" w:color="auto" w:fill="FFFFFF"/>
          <w:lang w:eastAsia="zh-CN"/>
        </w:rPr>
        <w:t>预算口径调整</w:t>
      </w:r>
      <w:r>
        <w:rPr>
          <w:rFonts w:hint="default" w:ascii="Times New Roman" w:hAnsi="Times New Roman" w:eastAsia="方正仿宋_GBK" w:cs="Times New Roman"/>
          <w:color w:val="auto"/>
          <w:sz w:val="32"/>
          <w:szCs w:val="32"/>
          <w:shd w:val="clear" w:color="auto" w:fill="FFFFFF"/>
          <w:lang w:eastAsia="zh-CN"/>
        </w:rPr>
        <w:t>。</w:t>
      </w:r>
    </w:p>
    <w:p>
      <w:pPr>
        <w:pStyle w:val="10"/>
        <w:keepNext w:val="0"/>
        <w:keepLines w:val="0"/>
        <w:pageBreakBefore w:val="0"/>
        <w:kinsoku/>
        <w:wordWrap/>
        <w:overflowPunct/>
        <w:topLinePunct w:val="0"/>
        <w:autoSpaceDE w:val="0"/>
        <w:autoSpaceDN/>
        <w:bidi w:val="0"/>
        <w:adjustRightInd/>
        <w:spacing w:beforeAutospacing="0" w:line="594" w:lineRule="exact"/>
        <w:ind w:left="0" w:leftChars="0" w:firstLine="640" w:firstLineChars="200"/>
        <w:textAlignment w:val="auto"/>
        <w:rPr>
          <w:rFonts w:hint="default" w:ascii="Times New Roman" w:hAnsi="Times New Roman" w:eastAsia="方正楷体_GBK" w:cs="Times New Roman"/>
          <w:b/>
          <w:bCs/>
          <w:color w:val="auto"/>
          <w:sz w:val="32"/>
          <w:szCs w:val="32"/>
          <w:shd w:val="clear" w:color="auto" w:fill="FFFFFF"/>
          <w:lang w:bidi="ar"/>
        </w:rPr>
      </w:pPr>
      <w:r>
        <w:rPr>
          <w:rFonts w:hint="default" w:ascii="Times New Roman" w:hAnsi="Times New Roman" w:eastAsia="方正楷体_GBK" w:cs="Times New Roman"/>
          <w:b/>
          <w:bCs/>
          <w:color w:val="auto"/>
          <w:sz w:val="32"/>
          <w:szCs w:val="32"/>
          <w:shd w:val="clear" w:color="auto" w:fill="FFFFFF"/>
          <w:lang w:bidi="ar"/>
        </w:rPr>
        <w:t>（四）一般公共预算财政拨款基本支出决算情况说明</w:t>
      </w:r>
    </w:p>
    <w:p>
      <w:pPr>
        <w:pStyle w:val="5"/>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shd w:val="clear" w:color="auto" w:fill="FFFFFF"/>
        </w:rPr>
        <w:t> 2023年度一般公共财政拨款基本支出</w:t>
      </w:r>
      <w:r>
        <w:rPr>
          <w:rFonts w:hint="default" w:ascii="Times New Roman" w:hAnsi="Times New Roman" w:eastAsia="方正仿宋_GBK" w:cs="Times New Roman"/>
          <w:color w:val="auto"/>
          <w:sz w:val="32"/>
          <w:szCs w:val="32"/>
        </w:rPr>
        <w:t>1436.94</w:t>
      </w:r>
      <w:r>
        <w:rPr>
          <w:rFonts w:hint="default" w:ascii="Times New Roman" w:hAnsi="Times New Roman" w:eastAsia="方正仿宋_GBK" w:cs="Times New Roman"/>
          <w:color w:val="auto"/>
          <w:sz w:val="32"/>
          <w:szCs w:val="32"/>
          <w:shd w:val="clear" w:color="auto" w:fill="FFFFFF"/>
        </w:rPr>
        <w:t>万元。其中：人员经费</w:t>
      </w:r>
      <w:r>
        <w:rPr>
          <w:rFonts w:hint="default" w:ascii="Times New Roman" w:hAnsi="Times New Roman" w:eastAsia="方正仿宋_GBK" w:cs="Times New Roman"/>
          <w:color w:val="auto"/>
          <w:sz w:val="32"/>
          <w:szCs w:val="32"/>
        </w:rPr>
        <w:t>1172.47</w:t>
      </w:r>
      <w:r>
        <w:rPr>
          <w:rFonts w:hint="default" w:ascii="Times New Roman" w:hAnsi="Times New Roman" w:eastAsia="方正仿宋_GBK" w:cs="Times New Roman"/>
          <w:color w:val="auto"/>
          <w:sz w:val="32"/>
          <w:szCs w:val="32"/>
          <w:shd w:val="clear" w:color="auto" w:fill="FFFFFF"/>
        </w:rPr>
        <w:t>万元，较上年决算数减少1222.08万元，下降51.0%，主要原因</w:t>
      </w:r>
      <w:r>
        <w:rPr>
          <w:rFonts w:hint="eastAsia" w:ascii="Times New Roman" w:hAnsi="Times New Roman" w:eastAsia="方正仿宋_GBK" w:cs="Times New Roman"/>
          <w:color w:val="auto"/>
          <w:sz w:val="32"/>
          <w:szCs w:val="32"/>
          <w:shd w:val="clear" w:color="auto" w:fill="FFFFFF"/>
          <w:lang w:eastAsia="zh-CN"/>
        </w:rPr>
        <w:t>是由区财政局统筹规划，资金来源发生变化</w:t>
      </w:r>
      <w:r>
        <w:rPr>
          <w:rFonts w:hint="default" w:ascii="Times New Roman" w:hAnsi="Times New Roman" w:eastAsia="方正仿宋_GBK" w:cs="Times New Roman"/>
          <w:color w:val="auto"/>
          <w:sz w:val="32"/>
          <w:szCs w:val="32"/>
          <w:shd w:val="clear" w:color="auto" w:fill="FFFFFF"/>
          <w:lang w:val="en-US" w:eastAsia="zh-CN"/>
        </w:rPr>
        <w:t>。</w:t>
      </w:r>
      <w:r>
        <w:rPr>
          <w:rFonts w:hint="default" w:ascii="Times New Roman" w:hAnsi="Times New Roman" w:eastAsia="方正仿宋_GBK" w:cs="Times New Roman"/>
          <w:color w:val="auto"/>
          <w:sz w:val="32"/>
          <w:szCs w:val="32"/>
          <w:shd w:val="clear" w:color="auto" w:fill="FFFFFF"/>
        </w:rPr>
        <w:t>人员经费用途主要包括</w:t>
      </w:r>
      <w:r>
        <w:rPr>
          <w:rFonts w:hint="eastAsia" w:ascii="Times New Roman" w:hAnsi="Times New Roman" w:eastAsia="方正仿宋_GBK" w:cs="Times New Roman"/>
          <w:color w:val="auto"/>
          <w:sz w:val="32"/>
          <w:szCs w:val="32"/>
          <w:shd w:val="clear" w:color="auto" w:fill="FFFFFF"/>
          <w:lang w:eastAsia="zh-CN"/>
        </w:rPr>
        <w:t>在职人员</w:t>
      </w:r>
      <w:r>
        <w:rPr>
          <w:rFonts w:hint="default" w:ascii="Times New Roman" w:hAnsi="Times New Roman" w:eastAsia="方正仿宋_GBK" w:cs="Times New Roman"/>
          <w:color w:val="auto"/>
          <w:sz w:val="32"/>
          <w:szCs w:val="32"/>
          <w:shd w:val="clear" w:color="auto" w:fill="FFFFFF"/>
          <w:lang w:eastAsia="zh-CN"/>
        </w:rPr>
        <w:t>工资、社保</w:t>
      </w:r>
      <w:r>
        <w:rPr>
          <w:rFonts w:hint="eastAsia" w:ascii="Times New Roman" w:hAnsi="Times New Roman" w:eastAsia="方正仿宋_GBK" w:cs="Times New Roman"/>
          <w:color w:val="auto"/>
          <w:sz w:val="32"/>
          <w:szCs w:val="32"/>
          <w:shd w:val="clear" w:color="auto" w:fill="FFFFFF"/>
          <w:lang w:eastAsia="zh-CN"/>
        </w:rPr>
        <w:t>、公积金等</w:t>
      </w:r>
      <w:r>
        <w:rPr>
          <w:rFonts w:hint="default" w:ascii="Times New Roman" w:hAnsi="Times New Roman" w:eastAsia="方正仿宋_GBK" w:cs="Times New Roman"/>
          <w:color w:val="auto"/>
          <w:sz w:val="32"/>
          <w:szCs w:val="32"/>
          <w:shd w:val="clear" w:color="auto" w:fill="FFFFFF"/>
          <w:lang w:eastAsia="zh-CN"/>
        </w:rPr>
        <w:t>。</w:t>
      </w:r>
      <w:r>
        <w:rPr>
          <w:rFonts w:hint="default" w:ascii="Times New Roman" w:hAnsi="Times New Roman" w:eastAsia="方正仿宋_GBK" w:cs="Times New Roman"/>
          <w:color w:val="auto"/>
          <w:sz w:val="32"/>
          <w:szCs w:val="32"/>
          <w:shd w:val="clear" w:color="auto" w:fill="FFFFFF"/>
        </w:rPr>
        <w:t>公用经费</w:t>
      </w:r>
      <w:r>
        <w:rPr>
          <w:rFonts w:hint="default" w:ascii="Times New Roman" w:hAnsi="Times New Roman" w:eastAsia="方正仿宋_GBK" w:cs="Times New Roman"/>
          <w:color w:val="auto"/>
          <w:sz w:val="32"/>
          <w:szCs w:val="32"/>
        </w:rPr>
        <w:t>264.47</w:t>
      </w:r>
      <w:r>
        <w:rPr>
          <w:rFonts w:hint="default" w:ascii="Times New Roman" w:hAnsi="Times New Roman" w:eastAsia="方正仿宋_GBK" w:cs="Times New Roman"/>
          <w:color w:val="auto"/>
          <w:sz w:val="32"/>
          <w:szCs w:val="32"/>
          <w:shd w:val="clear" w:color="auto" w:fill="FFFFFF"/>
        </w:rPr>
        <w:t>万元，较上年决算数增加15.99万元，增长6.4%，主要原因是</w:t>
      </w:r>
      <w:r>
        <w:rPr>
          <w:rFonts w:hint="eastAsia" w:ascii="Times New Roman" w:hAnsi="Times New Roman" w:eastAsia="方正仿宋_GBK" w:cs="Times New Roman"/>
          <w:color w:val="auto"/>
          <w:sz w:val="32"/>
          <w:szCs w:val="32"/>
          <w:shd w:val="clear" w:color="auto" w:fill="FFFFFF"/>
          <w:lang w:val="en-US" w:eastAsia="zh-CN"/>
        </w:rPr>
        <w:t>办公经费</w:t>
      </w:r>
      <w:r>
        <w:rPr>
          <w:rFonts w:hint="default" w:ascii="Times New Roman" w:hAnsi="Times New Roman" w:eastAsia="方正仿宋_GBK" w:cs="Times New Roman"/>
          <w:color w:val="auto"/>
          <w:sz w:val="32"/>
          <w:szCs w:val="32"/>
          <w:shd w:val="clear" w:color="auto" w:fill="FFFFFF"/>
          <w:lang w:val="en-US" w:eastAsia="zh-CN"/>
        </w:rPr>
        <w:t>增加。</w:t>
      </w:r>
      <w:r>
        <w:rPr>
          <w:rFonts w:hint="default" w:ascii="Times New Roman" w:hAnsi="Times New Roman" w:eastAsia="方正仿宋_GBK" w:cs="Times New Roman"/>
          <w:color w:val="auto"/>
          <w:sz w:val="32"/>
          <w:szCs w:val="32"/>
          <w:shd w:val="clear" w:color="auto" w:fill="FFFFFF"/>
        </w:rPr>
        <w:t>公用经费用途主要包括</w:t>
      </w:r>
      <w:r>
        <w:rPr>
          <w:rFonts w:hint="default" w:ascii="Times New Roman" w:hAnsi="Times New Roman" w:eastAsia="方正仿宋_GBK" w:cs="Times New Roman"/>
          <w:color w:val="auto"/>
          <w:sz w:val="32"/>
          <w:szCs w:val="32"/>
          <w:shd w:val="clear" w:color="auto" w:fill="FFFFFF"/>
          <w:lang w:eastAsia="zh-CN"/>
        </w:rPr>
        <w:t>办公费、水费、电费、邮电费、维修费、会议费、培训费</w:t>
      </w:r>
      <w:r>
        <w:rPr>
          <w:rFonts w:hint="eastAsia" w:ascii="Times New Roman" w:hAnsi="Times New Roman" w:eastAsia="方正仿宋_GBK" w:cs="Times New Roman"/>
          <w:color w:val="auto"/>
          <w:sz w:val="32"/>
          <w:szCs w:val="32"/>
          <w:shd w:val="clear" w:color="auto" w:fill="FFFFFF"/>
          <w:lang w:eastAsia="zh-CN"/>
        </w:rPr>
        <w:t>等</w:t>
      </w:r>
      <w:r>
        <w:rPr>
          <w:rFonts w:hint="default" w:ascii="Times New Roman" w:hAnsi="Times New Roman" w:eastAsia="方正仿宋_GBK" w:cs="Times New Roman"/>
          <w:color w:val="auto"/>
          <w:sz w:val="32"/>
          <w:szCs w:val="32"/>
          <w:shd w:val="clear" w:color="auto" w:fill="FFFFFF"/>
          <w:lang w:eastAsia="zh-CN"/>
        </w:rPr>
        <w:t>。</w:t>
      </w:r>
    </w:p>
    <w:p>
      <w:pPr>
        <w:pStyle w:val="10"/>
        <w:keepNext w:val="0"/>
        <w:keepLines w:val="0"/>
        <w:pageBreakBefore w:val="0"/>
        <w:kinsoku/>
        <w:wordWrap/>
        <w:overflowPunct/>
        <w:topLinePunct w:val="0"/>
        <w:autoSpaceDE w:val="0"/>
        <w:autoSpaceDN/>
        <w:bidi w:val="0"/>
        <w:adjustRightInd/>
        <w:spacing w:beforeAutospacing="0" w:line="594" w:lineRule="exact"/>
        <w:ind w:firstLine="643"/>
        <w:textAlignment w:val="auto"/>
        <w:rPr>
          <w:rFonts w:hint="default" w:ascii="Times New Roman" w:hAnsi="Times New Roman" w:eastAsia="方正楷体_GBK" w:cs="Times New Roman"/>
          <w:b/>
          <w:bCs/>
          <w:color w:val="auto"/>
          <w:sz w:val="32"/>
          <w:szCs w:val="32"/>
          <w:shd w:val="clear" w:color="auto" w:fill="FFFFFF"/>
          <w:lang w:bidi="ar"/>
        </w:rPr>
      </w:pPr>
      <w:r>
        <w:rPr>
          <w:rFonts w:hint="default" w:ascii="Times New Roman" w:hAnsi="Times New Roman" w:eastAsia="方正楷体_GBK" w:cs="Times New Roman"/>
          <w:b/>
          <w:bCs/>
          <w:color w:val="auto"/>
          <w:sz w:val="32"/>
          <w:szCs w:val="32"/>
          <w:shd w:val="clear" w:color="auto" w:fill="FFFFFF"/>
          <w:lang w:bidi="ar"/>
        </w:rPr>
        <w:t>（五）政府性基金预算收支决算情况说明</w:t>
      </w:r>
    </w:p>
    <w:p>
      <w:pPr>
        <w:pStyle w:val="5"/>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shd w:val="clear" w:color="auto" w:fill="FFFFFF"/>
        </w:rPr>
        <w:t>2023年度政府性基金预算财政拨款年初结转结余</w:t>
      </w:r>
      <w:r>
        <w:rPr>
          <w:rFonts w:hint="default" w:ascii="Times New Roman" w:hAnsi="Times New Roman" w:eastAsia="方正仿宋_GBK" w:cs="Times New Roman"/>
          <w:color w:val="auto"/>
          <w:sz w:val="32"/>
          <w:szCs w:val="32"/>
          <w:lang w:val="en-US" w:eastAsia="zh-CN"/>
        </w:rPr>
        <w:t>0</w:t>
      </w:r>
      <w:r>
        <w:rPr>
          <w:rFonts w:hint="default" w:ascii="Times New Roman" w:hAnsi="Times New Roman" w:eastAsia="方正仿宋_GBK" w:cs="Times New Roman"/>
          <w:color w:val="auto"/>
          <w:sz w:val="32"/>
          <w:szCs w:val="32"/>
          <w:shd w:val="clear" w:color="auto" w:fill="FFFFFF"/>
        </w:rPr>
        <w:t>万元，年末结转结余</w:t>
      </w:r>
      <w:r>
        <w:rPr>
          <w:rFonts w:hint="default" w:ascii="Times New Roman" w:hAnsi="Times New Roman" w:eastAsia="方正仿宋_GBK" w:cs="Times New Roman"/>
          <w:color w:val="auto"/>
          <w:sz w:val="32"/>
          <w:szCs w:val="32"/>
          <w:lang w:val="en-US" w:eastAsia="zh-CN"/>
        </w:rPr>
        <w:t>0</w:t>
      </w:r>
      <w:r>
        <w:rPr>
          <w:rFonts w:hint="default" w:ascii="Times New Roman" w:hAnsi="Times New Roman" w:eastAsia="方正仿宋_GBK" w:cs="Times New Roman"/>
          <w:color w:val="auto"/>
          <w:sz w:val="32"/>
          <w:szCs w:val="32"/>
          <w:shd w:val="clear" w:color="auto" w:fill="FFFFFF"/>
        </w:rPr>
        <w:t>万元。本年收入</w:t>
      </w:r>
      <w:r>
        <w:rPr>
          <w:rFonts w:hint="default" w:ascii="Times New Roman" w:hAnsi="Times New Roman" w:eastAsia="方正仿宋_GBK" w:cs="Times New Roman"/>
          <w:color w:val="auto"/>
          <w:sz w:val="32"/>
          <w:szCs w:val="32"/>
        </w:rPr>
        <w:t>115.68</w:t>
      </w:r>
      <w:r>
        <w:rPr>
          <w:rFonts w:hint="default" w:ascii="Times New Roman" w:hAnsi="Times New Roman" w:eastAsia="方正仿宋_GBK" w:cs="Times New Roman"/>
          <w:color w:val="auto"/>
          <w:sz w:val="32"/>
          <w:szCs w:val="32"/>
          <w:shd w:val="clear" w:color="auto" w:fill="FFFFFF"/>
        </w:rPr>
        <w:t>万元，较上年决算数增加115.68万元，增长100.0%，主要原因是上年未支出项目调整到今年支出。本年支出</w:t>
      </w:r>
      <w:r>
        <w:rPr>
          <w:rFonts w:hint="default" w:ascii="Times New Roman" w:hAnsi="Times New Roman" w:eastAsia="方正仿宋_GBK" w:cs="Times New Roman"/>
          <w:color w:val="auto"/>
          <w:sz w:val="32"/>
          <w:szCs w:val="32"/>
        </w:rPr>
        <w:t>115.68</w:t>
      </w:r>
      <w:r>
        <w:rPr>
          <w:rFonts w:hint="default" w:ascii="Times New Roman" w:hAnsi="Times New Roman" w:eastAsia="方正仿宋_GBK" w:cs="Times New Roman"/>
          <w:color w:val="auto"/>
          <w:sz w:val="32"/>
          <w:szCs w:val="32"/>
          <w:shd w:val="clear" w:color="auto" w:fill="FFFFFF"/>
        </w:rPr>
        <w:t>万元，较上年决算数增加115.68万元，增长100.0%，主要原因是上年未支出项目调整到今年支出。</w:t>
      </w:r>
    </w:p>
    <w:p>
      <w:pPr>
        <w:pStyle w:val="10"/>
        <w:keepNext w:val="0"/>
        <w:keepLines w:val="0"/>
        <w:pageBreakBefore w:val="0"/>
        <w:kinsoku/>
        <w:wordWrap/>
        <w:overflowPunct/>
        <w:topLinePunct w:val="0"/>
        <w:autoSpaceDE w:val="0"/>
        <w:autoSpaceDN/>
        <w:bidi w:val="0"/>
        <w:adjustRightInd/>
        <w:spacing w:beforeAutospacing="0" w:line="594" w:lineRule="exact"/>
        <w:ind w:left="0" w:leftChars="0" w:firstLine="640" w:firstLineChars="200"/>
        <w:textAlignment w:val="auto"/>
        <w:rPr>
          <w:rFonts w:hint="default" w:ascii="Times New Roman" w:hAnsi="Times New Roman" w:eastAsia="方正楷体_GBK" w:cs="Times New Roman"/>
          <w:b/>
          <w:bCs/>
          <w:color w:val="auto"/>
          <w:sz w:val="32"/>
          <w:szCs w:val="32"/>
          <w:shd w:val="clear" w:color="auto" w:fill="FFFFFF"/>
          <w:lang w:bidi="ar"/>
        </w:rPr>
      </w:pPr>
      <w:r>
        <w:rPr>
          <w:rFonts w:hint="default" w:ascii="Times New Roman" w:hAnsi="Times New Roman" w:eastAsia="方正楷体_GBK" w:cs="Times New Roman"/>
          <w:b/>
          <w:bCs/>
          <w:color w:val="auto"/>
          <w:sz w:val="32"/>
          <w:szCs w:val="32"/>
          <w:shd w:val="clear" w:color="auto" w:fill="FFFFFF"/>
          <w:lang w:bidi="ar"/>
        </w:rPr>
        <w:t>（六）国有资本经营预算财政拨款支出决算情况说明</w:t>
      </w:r>
    </w:p>
    <w:p>
      <w:pPr>
        <w:pStyle w:val="5"/>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sz w:val="32"/>
          <w:szCs w:val="32"/>
          <w:shd w:val="clear" w:color="auto" w:fill="FFFFFF"/>
          <w:lang w:val="en-US" w:eastAsia="zh-CN"/>
        </w:rPr>
      </w:pPr>
      <w:r>
        <w:rPr>
          <w:rFonts w:hint="default" w:ascii="Times New Roman" w:hAnsi="Times New Roman" w:eastAsia="方正仿宋_GBK" w:cs="Times New Roman"/>
          <w:color w:val="auto"/>
          <w:sz w:val="32"/>
          <w:szCs w:val="32"/>
          <w:shd w:val="clear" w:color="auto" w:fill="FFFFFF"/>
          <w:lang w:eastAsia="zh-CN"/>
        </w:rPr>
        <w:t>本单位</w:t>
      </w:r>
      <w:r>
        <w:rPr>
          <w:rFonts w:hint="default" w:ascii="Times New Roman" w:hAnsi="Times New Roman" w:eastAsia="方正仿宋_GBK" w:cs="Times New Roman"/>
          <w:color w:val="auto"/>
          <w:sz w:val="32"/>
          <w:szCs w:val="32"/>
          <w:shd w:val="clear" w:color="auto" w:fill="FFFFFF"/>
          <w:lang w:val="en-US" w:eastAsia="zh-CN"/>
        </w:rPr>
        <w:t>2023年度无国有资本经营预算财政拨款支出。</w:t>
      </w:r>
    </w:p>
    <w:p>
      <w:pPr>
        <w:pStyle w:val="10"/>
        <w:keepNext w:val="0"/>
        <w:keepLines w:val="0"/>
        <w:pageBreakBefore w:val="0"/>
        <w:kinsoku/>
        <w:wordWrap/>
        <w:overflowPunct/>
        <w:topLinePunct w:val="0"/>
        <w:autoSpaceDE w:val="0"/>
        <w:autoSpaceDN/>
        <w:bidi w:val="0"/>
        <w:adjustRightInd/>
        <w:spacing w:beforeAutospacing="0" w:line="594" w:lineRule="exact"/>
        <w:ind w:left="0" w:leftChars="0" w:firstLine="640" w:firstLineChars="200"/>
        <w:textAlignment w:val="auto"/>
        <w:rPr>
          <w:rFonts w:hint="default" w:ascii="Times New Roman" w:hAnsi="Times New Roman" w:eastAsia="方正黑体_GBK" w:cs="Times New Roman"/>
          <w:color w:val="auto"/>
          <w:sz w:val="32"/>
          <w:szCs w:val="32"/>
          <w:shd w:val="clear" w:color="auto" w:fill="FFFF00"/>
        </w:rPr>
      </w:pPr>
      <w:r>
        <w:rPr>
          <w:rFonts w:hint="default" w:ascii="Times New Roman" w:hAnsi="Times New Roman" w:eastAsia="方正黑体_GBK" w:cs="Times New Roman"/>
          <w:b/>
          <w:bCs/>
          <w:color w:val="auto"/>
          <w:sz w:val="32"/>
          <w:szCs w:val="32"/>
          <w:shd w:val="clear" w:color="auto" w:fill="FFFFFF"/>
          <w:lang w:val="en-US" w:eastAsia="zh-CN" w:bidi="ar"/>
        </w:rPr>
        <w:t>三、“三公”经费情况说明</w:t>
      </w:r>
    </w:p>
    <w:p>
      <w:pPr>
        <w:pStyle w:val="10"/>
        <w:keepNext w:val="0"/>
        <w:keepLines w:val="0"/>
        <w:pageBreakBefore w:val="0"/>
        <w:kinsoku/>
        <w:wordWrap/>
        <w:overflowPunct/>
        <w:topLinePunct w:val="0"/>
        <w:autoSpaceDE w:val="0"/>
        <w:autoSpaceDN/>
        <w:bidi w:val="0"/>
        <w:adjustRightInd/>
        <w:spacing w:beforeAutospacing="0" w:line="594" w:lineRule="exact"/>
        <w:ind w:left="0" w:leftChars="0" w:firstLine="640" w:firstLineChars="200"/>
        <w:textAlignment w:val="auto"/>
        <w:rPr>
          <w:rFonts w:hint="default" w:ascii="Times New Roman" w:hAnsi="Times New Roman" w:eastAsia="方正楷体_GBK" w:cs="Times New Roman"/>
          <w:b/>
          <w:bCs/>
          <w:color w:val="auto"/>
          <w:sz w:val="32"/>
          <w:szCs w:val="32"/>
          <w:shd w:val="clear" w:color="auto" w:fill="FFFFFF"/>
          <w:lang w:bidi="ar"/>
        </w:rPr>
      </w:pPr>
      <w:r>
        <w:rPr>
          <w:rFonts w:hint="default" w:ascii="Times New Roman" w:hAnsi="Times New Roman" w:eastAsia="方正楷体_GBK" w:cs="Times New Roman"/>
          <w:b/>
          <w:bCs/>
          <w:color w:val="auto"/>
          <w:sz w:val="32"/>
          <w:szCs w:val="32"/>
          <w:shd w:val="clear" w:color="auto" w:fill="FFFFFF"/>
          <w:lang w:eastAsia="zh-CN" w:bidi="ar"/>
        </w:rPr>
        <w:t>（</w:t>
      </w:r>
      <w:r>
        <w:rPr>
          <w:rFonts w:hint="default" w:ascii="Times New Roman" w:hAnsi="Times New Roman" w:eastAsia="方正楷体_GBK" w:cs="Times New Roman"/>
          <w:b/>
          <w:bCs/>
          <w:color w:val="auto"/>
          <w:sz w:val="32"/>
          <w:szCs w:val="32"/>
          <w:shd w:val="clear" w:color="auto" w:fill="FFFFFF"/>
          <w:lang w:bidi="ar"/>
        </w:rPr>
        <w:t>一）“三公”经费支出总体情况说明</w:t>
      </w:r>
    </w:p>
    <w:p>
      <w:pPr>
        <w:pStyle w:val="5"/>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shd w:val="clear" w:color="auto" w:fill="FFFFFF"/>
        </w:rPr>
        <w:t>2023年度“三公”经费支出共计</w:t>
      </w:r>
      <w:r>
        <w:rPr>
          <w:rFonts w:hint="default" w:ascii="Times New Roman" w:hAnsi="Times New Roman" w:eastAsia="方正仿宋_GBK" w:cs="Times New Roman"/>
          <w:color w:val="auto"/>
          <w:sz w:val="32"/>
          <w:szCs w:val="32"/>
        </w:rPr>
        <w:t>27.71</w:t>
      </w:r>
      <w:r>
        <w:rPr>
          <w:rFonts w:hint="default" w:ascii="Times New Roman" w:hAnsi="Times New Roman" w:eastAsia="方正仿宋_GBK" w:cs="Times New Roman"/>
          <w:color w:val="auto"/>
          <w:sz w:val="32"/>
          <w:szCs w:val="32"/>
          <w:shd w:val="clear" w:color="auto" w:fill="FFFFFF"/>
        </w:rPr>
        <w:t>万元，较年初预算数减少42.29万元，下降60.4%，主要原因是</w:t>
      </w:r>
      <w:r>
        <w:rPr>
          <w:rFonts w:hint="default" w:ascii="Times New Roman" w:hAnsi="Times New Roman" w:eastAsia="方正仿宋_GBK" w:cs="Times New Roman"/>
          <w:color w:val="auto"/>
          <w:sz w:val="32"/>
          <w:szCs w:val="32"/>
          <w:shd w:val="clear" w:color="auto" w:fill="FFFFFF"/>
          <w:lang w:eastAsia="zh-CN"/>
        </w:rPr>
        <w:t>财政调整年初预算，单位厉行节约，压减开支。</w:t>
      </w:r>
      <w:r>
        <w:rPr>
          <w:rFonts w:hint="default" w:ascii="Times New Roman" w:hAnsi="Times New Roman" w:eastAsia="方正仿宋_GBK" w:cs="Times New Roman"/>
          <w:color w:val="auto"/>
          <w:sz w:val="32"/>
          <w:szCs w:val="32"/>
          <w:shd w:val="clear" w:color="auto" w:fill="FFFFFF"/>
        </w:rPr>
        <w:t>较上年支出数减少28.95万元，下降51.</w:t>
      </w:r>
      <w:r>
        <w:rPr>
          <w:rFonts w:hint="default" w:ascii="Times New Roman" w:hAnsi="Times New Roman" w:eastAsia="方正仿宋_GBK" w:cs="Times New Roman"/>
          <w:color w:val="auto"/>
          <w:sz w:val="32"/>
          <w:szCs w:val="32"/>
          <w:shd w:val="clear" w:color="auto" w:fill="FFFFFF"/>
          <w:lang w:val="en-US" w:eastAsia="zh-CN"/>
        </w:rPr>
        <w:t>1</w:t>
      </w:r>
      <w:r>
        <w:rPr>
          <w:rFonts w:hint="default" w:ascii="Times New Roman" w:hAnsi="Times New Roman" w:eastAsia="方正仿宋_GBK" w:cs="Times New Roman"/>
          <w:color w:val="auto"/>
          <w:sz w:val="32"/>
          <w:szCs w:val="32"/>
          <w:shd w:val="clear" w:color="auto" w:fill="FFFFFF"/>
        </w:rPr>
        <w:t>%，主要原因是</w:t>
      </w:r>
      <w:r>
        <w:rPr>
          <w:rFonts w:hint="default" w:ascii="Times New Roman" w:hAnsi="Times New Roman" w:eastAsia="方正仿宋_GBK" w:cs="Times New Roman"/>
          <w:color w:val="auto"/>
          <w:sz w:val="32"/>
          <w:szCs w:val="32"/>
          <w:shd w:val="clear" w:color="auto" w:fill="FFFFFF"/>
          <w:lang w:eastAsia="zh-CN"/>
        </w:rPr>
        <w:t>厉行节约，公车</w:t>
      </w:r>
      <w:r>
        <w:rPr>
          <w:rFonts w:hint="eastAsia" w:ascii="Times New Roman" w:hAnsi="Times New Roman" w:eastAsia="方正仿宋_GBK" w:cs="Times New Roman"/>
          <w:color w:val="auto"/>
          <w:sz w:val="32"/>
          <w:szCs w:val="32"/>
          <w:shd w:val="clear" w:color="auto" w:fill="FFFFFF"/>
          <w:lang w:eastAsia="zh-CN"/>
        </w:rPr>
        <w:t>用车</w:t>
      </w:r>
      <w:r>
        <w:rPr>
          <w:rFonts w:hint="default" w:ascii="Times New Roman" w:hAnsi="Times New Roman" w:eastAsia="方正仿宋_GBK" w:cs="Times New Roman"/>
          <w:color w:val="auto"/>
          <w:sz w:val="32"/>
          <w:szCs w:val="32"/>
          <w:shd w:val="clear" w:color="auto" w:fill="FFFFFF"/>
          <w:lang w:eastAsia="zh-CN"/>
        </w:rPr>
        <w:t>运行维护费减少。</w:t>
      </w:r>
    </w:p>
    <w:p>
      <w:pPr>
        <w:pStyle w:val="10"/>
        <w:keepNext w:val="0"/>
        <w:keepLines w:val="0"/>
        <w:pageBreakBefore w:val="0"/>
        <w:kinsoku/>
        <w:wordWrap/>
        <w:overflowPunct/>
        <w:topLinePunct w:val="0"/>
        <w:autoSpaceDE w:val="0"/>
        <w:autoSpaceDN/>
        <w:bidi w:val="0"/>
        <w:adjustRightInd/>
        <w:spacing w:beforeAutospacing="0" w:line="594" w:lineRule="exact"/>
        <w:ind w:firstLine="643"/>
        <w:textAlignment w:val="auto"/>
        <w:rPr>
          <w:rFonts w:hint="default" w:ascii="Times New Roman" w:hAnsi="Times New Roman" w:eastAsia="方正楷体_GBK" w:cs="Times New Roman"/>
          <w:b/>
          <w:bCs/>
          <w:color w:val="auto"/>
          <w:sz w:val="32"/>
          <w:szCs w:val="32"/>
          <w:shd w:val="clear" w:color="auto" w:fill="FFFFFF"/>
          <w:lang w:bidi="ar"/>
        </w:rPr>
      </w:pPr>
      <w:r>
        <w:rPr>
          <w:rFonts w:hint="default" w:ascii="Times New Roman" w:hAnsi="Times New Roman" w:eastAsia="方正楷体_GBK" w:cs="Times New Roman"/>
          <w:b/>
          <w:bCs/>
          <w:color w:val="auto"/>
          <w:sz w:val="32"/>
          <w:szCs w:val="32"/>
          <w:shd w:val="clear" w:color="auto" w:fill="FFFFFF"/>
          <w:lang w:bidi="ar"/>
        </w:rPr>
        <w:t>（二）“三公”经费分项支出情况</w:t>
      </w:r>
    </w:p>
    <w:p>
      <w:pPr>
        <w:pStyle w:val="5"/>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sz w:val="32"/>
          <w:szCs w:val="32"/>
          <w:shd w:val="clear" w:color="auto" w:fill="FFFFFF"/>
          <w:lang w:eastAsia="zh-CN"/>
        </w:rPr>
      </w:pPr>
      <w:r>
        <w:rPr>
          <w:rFonts w:hint="default" w:ascii="Times New Roman" w:hAnsi="Times New Roman" w:eastAsia="方正仿宋_GBK" w:cs="Times New Roman"/>
          <w:color w:val="auto"/>
          <w:sz w:val="32"/>
          <w:szCs w:val="32"/>
          <w:shd w:val="clear" w:color="auto" w:fill="FFFFFF"/>
        </w:rPr>
        <w:t>2023年度本</w:t>
      </w:r>
      <w:r>
        <w:rPr>
          <w:rFonts w:hint="eastAsia" w:ascii="Times New Roman" w:hAnsi="Times New Roman" w:eastAsia="方正仿宋_GBK" w:cs="Times New Roman"/>
          <w:color w:val="auto"/>
          <w:sz w:val="32"/>
          <w:szCs w:val="32"/>
          <w:shd w:val="clear" w:color="auto" w:fill="FFFFFF"/>
          <w:lang w:val="en-US" w:eastAsia="zh-CN"/>
        </w:rPr>
        <w:t>单位</w:t>
      </w:r>
      <w:r>
        <w:rPr>
          <w:rFonts w:hint="default" w:ascii="Times New Roman" w:hAnsi="Times New Roman" w:eastAsia="方正仿宋_GBK" w:cs="Times New Roman"/>
          <w:color w:val="auto"/>
          <w:sz w:val="32"/>
          <w:szCs w:val="32"/>
          <w:shd w:val="clear" w:color="auto" w:fill="FFFFFF"/>
        </w:rPr>
        <w:t>因公出国（境）费用</w:t>
      </w:r>
      <w:r>
        <w:rPr>
          <w:rFonts w:hint="default" w:ascii="Times New Roman" w:hAnsi="Times New Roman" w:eastAsia="方正仿宋_GBK" w:cs="Times New Roman"/>
          <w:color w:val="auto"/>
          <w:sz w:val="32"/>
          <w:szCs w:val="32"/>
        </w:rPr>
        <w:t>0</w:t>
      </w:r>
      <w:r>
        <w:rPr>
          <w:rFonts w:hint="default" w:ascii="Times New Roman" w:hAnsi="Times New Roman" w:eastAsia="方正仿宋_GBK" w:cs="Times New Roman"/>
          <w:color w:val="auto"/>
          <w:sz w:val="32"/>
          <w:szCs w:val="32"/>
          <w:shd w:val="clear" w:color="auto" w:fill="FFFFFF"/>
        </w:rPr>
        <w:t>万元</w:t>
      </w:r>
      <w:r>
        <w:rPr>
          <w:rFonts w:hint="default" w:ascii="Times New Roman" w:hAnsi="Times New Roman" w:eastAsia="方正仿宋_GBK" w:cs="Times New Roman"/>
          <w:color w:val="auto"/>
          <w:sz w:val="32"/>
          <w:szCs w:val="32"/>
          <w:shd w:val="clear" w:color="auto" w:fill="FFFFFF"/>
          <w:lang w:eastAsia="zh-CN"/>
        </w:rPr>
        <w:t>。</w:t>
      </w:r>
    </w:p>
    <w:p>
      <w:pPr>
        <w:pStyle w:val="5"/>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sz w:val="32"/>
          <w:szCs w:val="32"/>
          <w:shd w:val="clear" w:color="auto" w:fill="FFFFFF"/>
        </w:rPr>
      </w:pPr>
      <w:r>
        <w:rPr>
          <w:rFonts w:hint="default" w:ascii="Times New Roman" w:hAnsi="Times New Roman" w:eastAsia="方正仿宋_GBK" w:cs="Times New Roman"/>
          <w:color w:val="auto"/>
          <w:sz w:val="32"/>
          <w:szCs w:val="32"/>
          <w:shd w:val="clear" w:color="auto" w:fill="FFFFFF"/>
        </w:rPr>
        <w:t> 公务</w:t>
      </w:r>
      <w:r>
        <w:rPr>
          <w:rFonts w:hint="eastAsia" w:ascii="Times New Roman" w:hAnsi="Times New Roman" w:eastAsia="方正仿宋_GBK" w:cs="Times New Roman"/>
          <w:color w:val="auto"/>
          <w:sz w:val="32"/>
          <w:szCs w:val="32"/>
          <w:shd w:val="clear" w:color="auto" w:fill="FFFFFF"/>
          <w:lang w:eastAsia="zh-CN"/>
        </w:rPr>
        <w:t>用</w:t>
      </w:r>
      <w:r>
        <w:rPr>
          <w:rFonts w:hint="default" w:ascii="Times New Roman" w:hAnsi="Times New Roman" w:eastAsia="方正仿宋_GBK" w:cs="Times New Roman"/>
          <w:color w:val="auto"/>
          <w:sz w:val="32"/>
          <w:szCs w:val="32"/>
          <w:shd w:val="clear" w:color="auto" w:fill="FFFFFF"/>
        </w:rPr>
        <w:t>车购置费</w:t>
      </w:r>
      <w:r>
        <w:rPr>
          <w:rFonts w:hint="default" w:ascii="Times New Roman" w:hAnsi="Times New Roman" w:eastAsia="方正仿宋_GBK" w:cs="Times New Roman"/>
          <w:color w:val="auto"/>
          <w:sz w:val="32"/>
          <w:szCs w:val="32"/>
        </w:rPr>
        <w:t>0</w:t>
      </w:r>
      <w:r>
        <w:rPr>
          <w:rFonts w:hint="default" w:ascii="Times New Roman" w:hAnsi="Times New Roman" w:eastAsia="方正仿宋_GBK" w:cs="Times New Roman"/>
          <w:color w:val="auto"/>
          <w:sz w:val="32"/>
          <w:szCs w:val="32"/>
          <w:shd w:val="clear" w:color="auto" w:fill="FFFFFF"/>
        </w:rPr>
        <w:t>万元。</w:t>
      </w:r>
    </w:p>
    <w:p>
      <w:pPr>
        <w:pStyle w:val="5"/>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shd w:val="clear" w:color="auto" w:fill="FFFFFF"/>
        </w:rPr>
        <w:t> 公务</w:t>
      </w:r>
      <w:r>
        <w:rPr>
          <w:rFonts w:hint="eastAsia" w:ascii="Times New Roman" w:hAnsi="Times New Roman" w:eastAsia="方正仿宋_GBK" w:cs="Times New Roman"/>
          <w:color w:val="auto"/>
          <w:sz w:val="32"/>
          <w:szCs w:val="32"/>
          <w:shd w:val="clear" w:color="auto" w:fill="FFFFFF"/>
          <w:lang w:val="en-US" w:eastAsia="zh-CN"/>
        </w:rPr>
        <w:t>用</w:t>
      </w:r>
      <w:r>
        <w:rPr>
          <w:rFonts w:hint="default" w:ascii="Times New Roman" w:hAnsi="Times New Roman" w:eastAsia="方正仿宋_GBK" w:cs="Times New Roman"/>
          <w:color w:val="auto"/>
          <w:sz w:val="32"/>
          <w:szCs w:val="32"/>
          <w:shd w:val="clear" w:color="auto" w:fill="FFFFFF"/>
        </w:rPr>
        <w:t>车运行维护费</w:t>
      </w:r>
      <w:r>
        <w:rPr>
          <w:rFonts w:hint="default" w:ascii="Times New Roman" w:hAnsi="Times New Roman" w:eastAsia="方正仿宋_GBK" w:cs="Times New Roman"/>
          <w:color w:val="auto"/>
          <w:sz w:val="32"/>
          <w:szCs w:val="32"/>
        </w:rPr>
        <w:t>27.51</w:t>
      </w:r>
      <w:r>
        <w:rPr>
          <w:rFonts w:hint="default" w:ascii="Times New Roman" w:hAnsi="Times New Roman" w:eastAsia="方正仿宋_GBK" w:cs="Times New Roman"/>
          <w:color w:val="auto"/>
          <w:sz w:val="32"/>
          <w:szCs w:val="32"/>
          <w:shd w:val="clear" w:color="auto" w:fill="FFFFFF"/>
        </w:rPr>
        <w:t>万元，主要用于</w:t>
      </w:r>
      <w:r>
        <w:rPr>
          <w:rFonts w:hint="default" w:ascii="Times New Roman" w:hAnsi="Times New Roman" w:eastAsia="方正仿宋_GBK" w:cs="Times New Roman"/>
          <w:color w:val="auto"/>
          <w:sz w:val="32"/>
          <w:szCs w:val="32"/>
          <w:shd w:val="clear" w:color="auto" w:fill="FFFFFF"/>
          <w:lang w:val="en-US" w:eastAsia="zh-CN"/>
        </w:rPr>
        <w:t>11辆公务</w:t>
      </w:r>
      <w:r>
        <w:rPr>
          <w:rFonts w:hint="eastAsia" w:ascii="Times New Roman" w:hAnsi="Times New Roman" w:eastAsia="方正仿宋_GBK" w:cs="Times New Roman"/>
          <w:color w:val="auto"/>
          <w:sz w:val="32"/>
          <w:szCs w:val="32"/>
          <w:shd w:val="clear" w:color="auto" w:fill="FFFFFF"/>
          <w:lang w:val="en-US" w:eastAsia="zh-CN"/>
        </w:rPr>
        <w:t>用</w:t>
      </w:r>
      <w:r>
        <w:rPr>
          <w:rFonts w:hint="default" w:ascii="Times New Roman" w:hAnsi="Times New Roman" w:eastAsia="方正仿宋_GBK" w:cs="Times New Roman"/>
          <w:color w:val="auto"/>
          <w:sz w:val="32"/>
          <w:szCs w:val="32"/>
          <w:shd w:val="clear" w:color="auto" w:fill="FFFFFF"/>
          <w:lang w:val="en-US" w:eastAsia="zh-CN"/>
        </w:rPr>
        <w:t>车维修、加油、保险、路桥费等。</w:t>
      </w:r>
      <w:r>
        <w:rPr>
          <w:rFonts w:hint="default" w:ascii="Times New Roman" w:hAnsi="Times New Roman" w:eastAsia="方正仿宋_GBK" w:cs="Times New Roman"/>
          <w:color w:val="auto"/>
          <w:sz w:val="32"/>
          <w:szCs w:val="32"/>
          <w:shd w:val="clear" w:color="auto" w:fill="FFFFFF"/>
        </w:rPr>
        <w:t>费用支出较年初预算数减少41.99万元，下降60.4%，主要原因是</w:t>
      </w:r>
      <w:r>
        <w:rPr>
          <w:rFonts w:hint="default" w:ascii="Times New Roman" w:hAnsi="Times New Roman" w:eastAsia="方正仿宋_GBK" w:cs="Times New Roman"/>
          <w:color w:val="auto"/>
          <w:sz w:val="32"/>
          <w:szCs w:val="32"/>
          <w:shd w:val="clear" w:color="auto" w:fill="FFFFFF"/>
          <w:lang w:eastAsia="zh-CN"/>
        </w:rPr>
        <w:t>财政调整年初预算，单位厉行节约，压减开支。</w:t>
      </w:r>
      <w:r>
        <w:rPr>
          <w:rFonts w:hint="default" w:ascii="Times New Roman" w:hAnsi="Times New Roman" w:eastAsia="方正仿宋_GBK" w:cs="Times New Roman"/>
          <w:color w:val="auto"/>
          <w:sz w:val="32"/>
          <w:szCs w:val="32"/>
          <w:shd w:val="clear" w:color="auto" w:fill="FFFFFF"/>
        </w:rPr>
        <w:t>较上年支出数减少28.36万元，下降50.</w:t>
      </w:r>
      <w:r>
        <w:rPr>
          <w:rFonts w:hint="default" w:ascii="Times New Roman" w:hAnsi="Times New Roman" w:eastAsia="方正仿宋_GBK" w:cs="Times New Roman"/>
          <w:color w:val="auto"/>
          <w:sz w:val="32"/>
          <w:szCs w:val="32"/>
          <w:shd w:val="clear" w:color="auto" w:fill="FFFFFF"/>
          <w:lang w:val="en-US" w:eastAsia="zh-CN"/>
        </w:rPr>
        <w:t>8</w:t>
      </w:r>
      <w:r>
        <w:rPr>
          <w:rFonts w:hint="default" w:ascii="Times New Roman" w:hAnsi="Times New Roman" w:eastAsia="方正仿宋_GBK" w:cs="Times New Roman"/>
          <w:color w:val="auto"/>
          <w:sz w:val="32"/>
          <w:szCs w:val="32"/>
          <w:shd w:val="clear" w:color="auto" w:fill="FFFFFF"/>
        </w:rPr>
        <w:t>%，主要原因是</w:t>
      </w:r>
      <w:r>
        <w:rPr>
          <w:rFonts w:hint="default" w:ascii="Times New Roman" w:hAnsi="Times New Roman" w:eastAsia="方正仿宋_GBK" w:cs="Times New Roman"/>
          <w:color w:val="auto"/>
          <w:sz w:val="32"/>
          <w:szCs w:val="32"/>
          <w:shd w:val="clear" w:color="auto" w:fill="FFFFFF"/>
          <w:lang w:eastAsia="zh-CN"/>
        </w:rPr>
        <w:t>单位厉行节约，压减开支。</w:t>
      </w:r>
    </w:p>
    <w:p>
      <w:pPr>
        <w:pStyle w:val="5"/>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shd w:val="clear" w:color="auto" w:fill="FFFFFF"/>
        </w:rPr>
        <w:t> 公务接待费</w:t>
      </w:r>
      <w:r>
        <w:rPr>
          <w:rFonts w:hint="default" w:ascii="Times New Roman" w:hAnsi="Times New Roman" w:eastAsia="方正仿宋_GBK" w:cs="Times New Roman"/>
          <w:color w:val="auto"/>
          <w:sz w:val="32"/>
          <w:szCs w:val="32"/>
        </w:rPr>
        <w:t>0.2</w:t>
      </w:r>
      <w:r>
        <w:rPr>
          <w:rFonts w:hint="default" w:ascii="Times New Roman" w:hAnsi="Times New Roman" w:eastAsia="方正仿宋_GBK" w:cs="Times New Roman"/>
          <w:color w:val="auto"/>
          <w:sz w:val="32"/>
          <w:szCs w:val="32"/>
          <w:shd w:val="clear" w:color="auto" w:fill="FFFFFF"/>
        </w:rPr>
        <w:t>万元，主要用于</w:t>
      </w:r>
      <w:r>
        <w:rPr>
          <w:rFonts w:hint="default" w:ascii="Times New Roman" w:hAnsi="Times New Roman" w:eastAsia="方正仿宋_GBK" w:cs="Times New Roman"/>
          <w:color w:val="auto"/>
          <w:sz w:val="32"/>
          <w:szCs w:val="32"/>
          <w:shd w:val="clear" w:color="auto" w:fill="FFFFFF"/>
          <w:lang w:eastAsia="zh-CN"/>
        </w:rPr>
        <w:t>区县城管部门来长考察、调研接待费。</w:t>
      </w:r>
      <w:r>
        <w:rPr>
          <w:rFonts w:hint="default" w:ascii="Times New Roman" w:hAnsi="Times New Roman" w:eastAsia="方正仿宋_GBK" w:cs="Times New Roman"/>
          <w:color w:val="auto"/>
          <w:sz w:val="32"/>
          <w:szCs w:val="32"/>
          <w:shd w:val="clear" w:color="auto" w:fill="FFFFFF"/>
        </w:rPr>
        <w:t>费用支出较年初预算数减少0.3万元，下降60.0%，主要原因是</w:t>
      </w:r>
      <w:r>
        <w:rPr>
          <w:rFonts w:hint="default" w:ascii="Times New Roman" w:hAnsi="Times New Roman" w:eastAsia="方正仿宋_GBK" w:cs="Times New Roman"/>
          <w:color w:val="auto"/>
          <w:sz w:val="32"/>
          <w:szCs w:val="32"/>
          <w:shd w:val="clear" w:color="auto" w:fill="FFFFFF"/>
          <w:lang w:eastAsia="zh-CN"/>
        </w:rPr>
        <w:t>单位厉行节约，压减开支。</w:t>
      </w:r>
      <w:r>
        <w:rPr>
          <w:rFonts w:hint="default" w:ascii="Times New Roman" w:hAnsi="Times New Roman" w:eastAsia="方正仿宋_GBK" w:cs="Times New Roman"/>
          <w:color w:val="auto"/>
          <w:sz w:val="32"/>
          <w:szCs w:val="32"/>
          <w:shd w:val="clear" w:color="auto" w:fill="FFFFFF"/>
        </w:rPr>
        <w:t>较上年支出数减少0.6万元，下降75.0%，主要原因是</w:t>
      </w:r>
      <w:r>
        <w:rPr>
          <w:rFonts w:hint="default" w:ascii="Times New Roman" w:hAnsi="Times New Roman" w:eastAsia="方正仿宋_GBK" w:cs="Times New Roman"/>
          <w:color w:val="auto"/>
          <w:sz w:val="32"/>
          <w:szCs w:val="32"/>
          <w:shd w:val="clear" w:color="auto" w:fill="FFFFFF"/>
          <w:lang w:eastAsia="zh-CN"/>
        </w:rPr>
        <w:t>单位</w:t>
      </w:r>
      <w:bookmarkStart w:id="0" w:name="_GoBack"/>
      <w:bookmarkEnd w:id="0"/>
      <w:r>
        <w:rPr>
          <w:rFonts w:hint="default" w:ascii="Times New Roman" w:hAnsi="Times New Roman" w:eastAsia="方正仿宋_GBK" w:cs="Times New Roman"/>
          <w:color w:val="auto"/>
          <w:sz w:val="32"/>
          <w:szCs w:val="32"/>
          <w:shd w:val="clear" w:color="auto" w:fill="FFFFFF"/>
          <w:lang w:eastAsia="zh-CN"/>
        </w:rPr>
        <w:t>厉行节约，压减开支。</w:t>
      </w:r>
    </w:p>
    <w:p>
      <w:pPr>
        <w:pStyle w:val="10"/>
        <w:keepNext w:val="0"/>
        <w:keepLines w:val="0"/>
        <w:pageBreakBefore w:val="0"/>
        <w:kinsoku/>
        <w:wordWrap/>
        <w:overflowPunct/>
        <w:topLinePunct w:val="0"/>
        <w:autoSpaceDE w:val="0"/>
        <w:autoSpaceDN/>
        <w:bidi w:val="0"/>
        <w:adjustRightInd/>
        <w:spacing w:beforeAutospacing="0" w:line="594" w:lineRule="exact"/>
        <w:ind w:firstLine="643"/>
        <w:textAlignment w:val="auto"/>
        <w:rPr>
          <w:rFonts w:hint="default" w:ascii="Times New Roman" w:hAnsi="Times New Roman" w:eastAsia="方正楷体_GBK" w:cs="Times New Roman"/>
          <w:b/>
          <w:bCs/>
          <w:color w:val="auto"/>
          <w:sz w:val="32"/>
          <w:szCs w:val="32"/>
          <w:shd w:val="clear" w:color="auto" w:fill="FFFFFF"/>
          <w:lang w:bidi="ar"/>
        </w:rPr>
      </w:pPr>
      <w:r>
        <w:rPr>
          <w:rFonts w:hint="default" w:ascii="Times New Roman" w:hAnsi="Times New Roman" w:eastAsia="方正楷体_GBK" w:cs="Times New Roman"/>
          <w:b/>
          <w:bCs/>
          <w:color w:val="auto"/>
          <w:sz w:val="32"/>
          <w:szCs w:val="32"/>
          <w:shd w:val="clear" w:color="auto" w:fill="FFFFFF"/>
          <w:lang w:bidi="ar"/>
        </w:rPr>
        <w:t>（三）“三公”经费实物量情况</w:t>
      </w:r>
    </w:p>
    <w:p>
      <w:pPr>
        <w:pStyle w:val="5"/>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shd w:val="clear" w:color="auto" w:fill="FFFFFF"/>
        </w:rPr>
        <w:t>  2023年度本</w:t>
      </w:r>
      <w:r>
        <w:rPr>
          <w:rFonts w:hint="eastAsia" w:ascii="Times New Roman" w:hAnsi="Times New Roman" w:eastAsia="方正仿宋_GBK" w:cs="Times New Roman"/>
          <w:color w:val="auto"/>
          <w:sz w:val="32"/>
          <w:szCs w:val="32"/>
          <w:shd w:val="clear" w:color="auto" w:fill="FFFFFF"/>
          <w:lang w:val="en-US" w:eastAsia="zh-CN"/>
        </w:rPr>
        <w:t>单位</w:t>
      </w:r>
      <w:r>
        <w:rPr>
          <w:rFonts w:hint="default" w:ascii="Times New Roman" w:hAnsi="Times New Roman" w:eastAsia="方正仿宋_GBK" w:cs="Times New Roman"/>
          <w:color w:val="auto"/>
          <w:sz w:val="32"/>
          <w:szCs w:val="32"/>
          <w:shd w:val="clear" w:color="auto" w:fill="FFFFFF"/>
        </w:rPr>
        <w:t>因公出国（境）共计</w:t>
      </w:r>
      <w:r>
        <w:rPr>
          <w:rFonts w:hint="default" w:ascii="Times New Roman" w:hAnsi="Times New Roman" w:eastAsia="方正仿宋_GBK" w:cs="Times New Roman"/>
          <w:color w:val="auto"/>
          <w:sz w:val="32"/>
          <w:szCs w:val="32"/>
        </w:rPr>
        <w:t>0</w:t>
      </w:r>
      <w:r>
        <w:rPr>
          <w:rFonts w:hint="default" w:ascii="Times New Roman" w:hAnsi="Times New Roman" w:eastAsia="方正仿宋_GBK" w:cs="Times New Roman"/>
          <w:color w:val="auto"/>
          <w:sz w:val="32"/>
          <w:szCs w:val="32"/>
          <w:shd w:val="clear" w:color="auto" w:fill="FFFFFF"/>
        </w:rPr>
        <w:t>个团组，</w:t>
      </w:r>
      <w:r>
        <w:rPr>
          <w:rFonts w:hint="default" w:ascii="Times New Roman" w:hAnsi="Times New Roman" w:eastAsia="方正仿宋_GBK" w:cs="Times New Roman"/>
          <w:color w:val="auto"/>
          <w:sz w:val="32"/>
          <w:szCs w:val="32"/>
        </w:rPr>
        <w:t>0</w:t>
      </w:r>
      <w:r>
        <w:rPr>
          <w:rFonts w:hint="default" w:ascii="Times New Roman" w:hAnsi="Times New Roman" w:eastAsia="方正仿宋_GBK" w:cs="Times New Roman"/>
          <w:color w:val="auto"/>
          <w:sz w:val="32"/>
          <w:szCs w:val="32"/>
          <w:shd w:val="clear" w:color="auto" w:fill="FFFFFF"/>
        </w:rPr>
        <w:t>人；公务用车购置</w:t>
      </w:r>
      <w:r>
        <w:rPr>
          <w:rFonts w:hint="default" w:ascii="Times New Roman" w:hAnsi="Times New Roman" w:eastAsia="方正仿宋_GBK" w:cs="Times New Roman"/>
          <w:color w:val="auto"/>
          <w:sz w:val="32"/>
          <w:szCs w:val="32"/>
        </w:rPr>
        <w:t>0</w:t>
      </w:r>
      <w:r>
        <w:rPr>
          <w:rFonts w:hint="default" w:ascii="Times New Roman" w:hAnsi="Times New Roman" w:eastAsia="方正仿宋_GBK" w:cs="Times New Roman"/>
          <w:color w:val="auto"/>
          <w:sz w:val="32"/>
          <w:szCs w:val="32"/>
          <w:shd w:val="clear" w:color="auto" w:fill="FFFFFF"/>
        </w:rPr>
        <w:t>辆，</w:t>
      </w:r>
      <w:r>
        <w:rPr>
          <w:rFonts w:hint="eastAsia" w:ascii="Times New Roman" w:hAnsi="Times New Roman" w:eastAsia="方正仿宋_GBK" w:cs="Times New Roman"/>
          <w:color w:val="auto"/>
          <w:sz w:val="32"/>
          <w:szCs w:val="32"/>
          <w:shd w:val="clear" w:color="auto" w:fill="FFFFFF"/>
          <w:lang w:eastAsia="zh-CN"/>
        </w:rPr>
        <w:t>公务用车</w:t>
      </w:r>
      <w:r>
        <w:rPr>
          <w:rFonts w:hint="default" w:ascii="Times New Roman" w:hAnsi="Times New Roman" w:eastAsia="方正仿宋_GBK" w:cs="Times New Roman"/>
          <w:color w:val="auto"/>
          <w:sz w:val="32"/>
          <w:szCs w:val="32"/>
          <w:shd w:val="clear" w:color="auto" w:fill="FFFFFF"/>
        </w:rPr>
        <w:t>保有量为</w:t>
      </w:r>
      <w:r>
        <w:rPr>
          <w:rFonts w:hint="default" w:ascii="Times New Roman" w:hAnsi="Times New Roman" w:eastAsia="方正仿宋_GBK" w:cs="Times New Roman"/>
          <w:color w:val="auto"/>
          <w:sz w:val="32"/>
          <w:szCs w:val="32"/>
        </w:rPr>
        <w:t>11</w:t>
      </w:r>
      <w:r>
        <w:rPr>
          <w:rFonts w:hint="default" w:ascii="Times New Roman" w:hAnsi="Times New Roman" w:eastAsia="方正仿宋_GBK" w:cs="Times New Roman"/>
          <w:color w:val="auto"/>
          <w:sz w:val="32"/>
          <w:szCs w:val="32"/>
          <w:shd w:val="clear" w:color="auto" w:fill="FFFFFF"/>
        </w:rPr>
        <w:t>辆；国内公务接待</w:t>
      </w:r>
      <w:r>
        <w:rPr>
          <w:rFonts w:hint="default" w:ascii="Times New Roman" w:hAnsi="Times New Roman" w:eastAsia="方正仿宋_GBK" w:cs="Times New Roman"/>
          <w:color w:val="auto"/>
          <w:sz w:val="32"/>
          <w:szCs w:val="32"/>
        </w:rPr>
        <w:t>5</w:t>
      </w:r>
      <w:r>
        <w:rPr>
          <w:rFonts w:hint="default" w:ascii="Times New Roman" w:hAnsi="Times New Roman" w:eastAsia="方正仿宋_GBK" w:cs="Times New Roman"/>
          <w:color w:val="auto"/>
          <w:sz w:val="32"/>
          <w:szCs w:val="32"/>
          <w:shd w:val="clear" w:color="auto" w:fill="FFFFFF"/>
        </w:rPr>
        <w:t>批次</w:t>
      </w:r>
      <w:r>
        <w:rPr>
          <w:rFonts w:hint="default" w:ascii="Times New Roman" w:hAnsi="Times New Roman" w:eastAsia="方正仿宋_GBK" w:cs="Times New Roman"/>
          <w:color w:val="auto"/>
          <w:sz w:val="32"/>
          <w:szCs w:val="32"/>
        </w:rPr>
        <w:t>43</w:t>
      </w:r>
      <w:r>
        <w:rPr>
          <w:rFonts w:hint="default" w:ascii="Times New Roman" w:hAnsi="Times New Roman" w:eastAsia="方正仿宋_GBK" w:cs="Times New Roman"/>
          <w:color w:val="auto"/>
          <w:sz w:val="32"/>
          <w:szCs w:val="32"/>
          <w:shd w:val="clear" w:color="auto" w:fill="FFFFFF"/>
        </w:rPr>
        <w:t>人，其中：国内外事接待</w:t>
      </w:r>
      <w:r>
        <w:rPr>
          <w:rFonts w:hint="default" w:ascii="Times New Roman" w:hAnsi="Times New Roman" w:eastAsia="方正仿宋_GBK" w:cs="Times New Roman"/>
          <w:color w:val="auto"/>
          <w:sz w:val="32"/>
          <w:szCs w:val="32"/>
        </w:rPr>
        <w:t>0</w:t>
      </w:r>
      <w:r>
        <w:rPr>
          <w:rFonts w:hint="default" w:ascii="Times New Roman" w:hAnsi="Times New Roman" w:eastAsia="方正仿宋_GBK" w:cs="Times New Roman"/>
          <w:color w:val="auto"/>
          <w:sz w:val="32"/>
          <w:szCs w:val="32"/>
          <w:shd w:val="clear" w:color="auto" w:fill="FFFFFF"/>
        </w:rPr>
        <w:t>批次，</w:t>
      </w:r>
      <w:r>
        <w:rPr>
          <w:rFonts w:hint="default" w:ascii="Times New Roman" w:hAnsi="Times New Roman" w:eastAsia="方正仿宋_GBK" w:cs="Times New Roman"/>
          <w:color w:val="auto"/>
          <w:sz w:val="32"/>
          <w:szCs w:val="32"/>
        </w:rPr>
        <w:t>0</w:t>
      </w:r>
      <w:r>
        <w:rPr>
          <w:rFonts w:hint="default" w:ascii="Times New Roman" w:hAnsi="Times New Roman" w:eastAsia="方正仿宋_GBK" w:cs="Times New Roman"/>
          <w:color w:val="auto"/>
          <w:sz w:val="32"/>
          <w:szCs w:val="32"/>
          <w:shd w:val="clear" w:color="auto" w:fill="FFFFFF"/>
        </w:rPr>
        <w:t>人；国（境）外公务接待</w:t>
      </w:r>
      <w:r>
        <w:rPr>
          <w:rFonts w:hint="default" w:ascii="Times New Roman" w:hAnsi="Times New Roman" w:eastAsia="方正仿宋_GBK" w:cs="Times New Roman"/>
          <w:color w:val="auto"/>
          <w:sz w:val="32"/>
          <w:szCs w:val="32"/>
        </w:rPr>
        <w:t>0</w:t>
      </w:r>
      <w:r>
        <w:rPr>
          <w:rFonts w:hint="default" w:ascii="Times New Roman" w:hAnsi="Times New Roman" w:eastAsia="方正仿宋_GBK" w:cs="Times New Roman"/>
          <w:color w:val="auto"/>
          <w:sz w:val="32"/>
          <w:szCs w:val="32"/>
          <w:shd w:val="clear" w:color="auto" w:fill="FFFFFF"/>
        </w:rPr>
        <w:t>批次，</w:t>
      </w:r>
      <w:r>
        <w:rPr>
          <w:rFonts w:hint="default" w:ascii="Times New Roman" w:hAnsi="Times New Roman" w:eastAsia="方正仿宋_GBK" w:cs="Times New Roman"/>
          <w:color w:val="auto"/>
          <w:sz w:val="32"/>
          <w:szCs w:val="32"/>
        </w:rPr>
        <w:t>0</w:t>
      </w:r>
      <w:r>
        <w:rPr>
          <w:rFonts w:hint="default" w:ascii="Times New Roman" w:hAnsi="Times New Roman" w:eastAsia="方正仿宋_GBK" w:cs="Times New Roman"/>
          <w:color w:val="auto"/>
          <w:sz w:val="32"/>
          <w:szCs w:val="32"/>
          <w:shd w:val="clear" w:color="auto" w:fill="FFFFFF"/>
        </w:rPr>
        <w:t>人。2023年本</w:t>
      </w:r>
      <w:r>
        <w:rPr>
          <w:rFonts w:hint="eastAsia" w:ascii="Times New Roman" w:hAnsi="Times New Roman" w:eastAsia="方正仿宋_GBK" w:cs="Times New Roman"/>
          <w:color w:val="auto"/>
          <w:sz w:val="32"/>
          <w:szCs w:val="32"/>
          <w:shd w:val="clear" w:color="auto" w:fill="FFFFFF"/>
          <w:lang w:val="en-US" w:eastAsia="zh-CN"/>
        </w:rPr>
        <w:t>单位</w:t>
      </w:r>
      <w:r>
        <w:rPr>
          <w:rFonts w:hint="default" w:ascii="Times New Roman" w:hAnsi="Times New Roman" w:eastAsia="方正仿宋_GBK" w:cs="Times New Roman"/>
          <w:color w:val="auto"/>
          <w:sz w:val="32"/>
          <w:szCs w:val="32"/>
          <w:shd w:val="clear" w:color="auto" w:fill="FFFFFF"/>
        </w:rPr>
        <w:t>人均接待费</w:t>
      </w:r>
      <w:r>
        <w:rPr>
          <w:rFonts w:hint="default" w:ascii="Times New Roman" w:hAnsi="Times New Roman" w:eastAsia="方正仿宋_GBK" w:cs="Times New Roman"/>
          <w:color w:val="auto"/>
          <w:sz w:val="32"/>
          <w:szCs w:val="32"/>
        </w:rPr>
        <w:t>46.56</w:t>
      </w:r>
      <w:r>
        <w:rPr>
          <w:rFonts w:hint="default" w:ascii="Times New Roman" w:hAnsi="Times New Roman" w:eastAsia="方正仿宋_GBK" w:cs="Times New Roman"/>
          <w:color w:val="auto"/>
          <w:sz w:val="32"/>
          <w:szCs w:val="32"/>
          <w:shd w:val="clear" w:color="auto" w:fill="FFFFFF"/>
        </w:rPr>
        <w:t>元，车均购置费</w:t>
      </w:r>
      <w:r>
        <w:rPr>
          <w:rFonts w:hint="default" w:ascii="Times New Roman" w:hAnsi="Times New Roman" w:eastAsia="方正仿宋_GBK" w:cs="Times New Roman"/>
          <w:color w:val="auto"/>
          <w:sz w:val="32"/>
          <w:szCs w:val="32"/>
        </w:rPr>
        <w:t>0</w:t>
      </w:r>
      <w:r>
        <w:rPr>
          <w:rFonts w:hint="default" w:ascii="Times New Roman" w:hAnsi="Times New Roman" w:eastAsia="方正仿宋_GBK" w:cs="Times New Roman"/>
          <w:color w:val="auto"/>
          <w:sz w:val="32"/>
          <w:szCs w:val="32"/>
          <w:shd w:val="clear" w:color="auto" w:fill="FFFFFF"/>
        </w:rPr>
        <w:t>万元，车均维护费</w:t>
      </w:r>
      <w:r>
        <w:rPr>
          <w:rFonts w:hint="default" w:ascii="Times New Roman" w:hAnsi="Times New Roman" w:eastAsia="方正仿宋_GBK" w:cs="Times New Roman"/>
          <w:color w:val="auto"/>
          <w:sz w:val="32"/>
          <w:szCs w:val="32"/>
        </w:rPr>
        <w:t>2.5</w:t>
      </w:r>
      <w:r>
        <w:rPr>
          <w:rFonts w:hint="default" w:ascii="Times New Roman" w:hAnsi="Times New Roman" w:eastAsia="方正仿宋_GBK" w:cs="Times New Roman"/>
          <w:color w:val="auto"/>
          <w:sz w:val="32"/>
          <w:szCs w:val="32"/>
          <w:shd w:val="clear" w:color="auto" w:fill="FFFFFF"/>
        </w:rPr>
        <w:t>万元。</w:t>
      </w:r>
    </w:p>
    <w:p>
      <w:pPr>
        <w:pStyle w:val="5"/>
        <w:keepNext w:val="0"/>
        <w:keepLines w:val="0"/>
        <w:pageBreakBefore w:val="0"/>
        <w:shd w:val="clear" w:color="auto" w:fill="FFFFFF"/>
        <w:kinsoku/>
        <w:wordWrap/>
        <w:overflowPunct/>
        <w:topLinePunct w:val="0"/>
        <w:autoSpaceDN/>
        <w:bidi w:val="0"/>
        <w:adjustRightInd/>
        <w:spacing w:beforeAutospacing="0" w:line="594" w:lineRule="exact"/>
        <w:ind w:firstLine="640" w:firstLineChars="200"/>
        <w:textAlignment w:val="auto"/>
        <w:rPr>
          <w:rStyle w:val="9"/>
          <w:rFonts w:hint="default" w:ascii="Times New Roman" w:hAnsi="Times New Roman" w:eastAsia="方正黑体_GBK" w:cs="Times New Roman"/>
          <w:b/>
          <w:bCs w:val="0"/>
          <w:color w:val="auto"/>
          <w:sz w:val="32"/>
          <w:szCs w:val="32"/>
          <w:shd w:val="clear" w:color="auto" w:fill="FFFFFF"/>
        </w:rPr>
      </w:pPr>
      <w:r>
        <w:rPr>
          <w:rStyle w:val="9"/>
          <w:rFonts w:hint="default" w:ascii="Times New Roman" w:hAnsi="Times New Roman" w:eastAsia="方正黑体_GBK" w:cs="Times New Roman"/>
          <w:b/>
          <w:bCs w:val="0"/>
          <w:color w:val="auto"/>
          <w:sz w:val="32"/>
          <w:szCs w:val="32"/>
          <w:shd w:val="clear" w:color="auto" w:fill="FFFFFF"/>
        </w:rPr>
        <w:t>四、其他需要说明的事项</w:t>
      </w:r>
    </w:p>
    <w:p>
      <w:pPr>
        <w:pStyle w:val="10"/>
        <w:keepNext w:val="0"/>
        <w:keepLines w:val="0"/>
        <w:pageBreakBefore w:val="0"/>
        <w:kinsoku/>
        <w:wordWrap/>
        <w:overflowPunct/>
        <w:topLinePunct w:val="0"/>
        <w:autoSpaceDE w:val="0"/>
        <w:autoSpaceDN/>
        <w:bidi w:val="0"/>
        <w:adjustRightInd/>
        <w:spacing w:beforeAutospacing="0" w:line="594" w:lineRule="exact"/>
        <w:ind w:left="0" w:leftChars="0" w:firstLine="640" w:firstLineChars="200"/>
        <w:textAlignment w:val="auto"/>
        <w:rPr>
          <w:rFonts w:hint="default" w:ascii="Times New Roman" w:hAnsi="Times New Roman" w:eastAsia="方正楷体_GBK" w:cs="Times New Roman"/>
          <w:b/>
          <w:bCs/>
          <w:color w:val="auto"/>
          <w:sz w:val="32"/>
          <w:szCs w:val="32"/>
          <w:shd w:val="clear" w:color="auto" w:fill="FFFFFF"/>
          <w:lang w:bidi="ar"/>
        </w:rPr>
      </w:pPr>
      <w:r>
        <w:rPr>
          <w:rFonts w:hint="default" w:ascii="Times New Roman" w:hAnsi="Times New Roman" w:eastAsia="方正楷体_GBK" w:cs="Times New Roman"/>
          <w:b/>
          <w:bCs/>
          <w:color w:val="auto"/>
          <w:sz w:val="32"/>
          <w:szCs w:val="32"/>
          <w:shd w:val="clear" w:color="auto" w:fill="FFFFFF"/>
          <w:lang w:bidi="ar"/>
        </w:rPr>
        <w:t>（一）财政拨款会议费和培训费情况说明</w:t>
      </w:r>
    </w:p>
    <w:p>
      <w:pPr>
        <w:pStyle w:val="5"/>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shd w:val="clear" w:color="auto" w:fill="FFFFFF"/>
        </w:rPr>
        <w:t>本年度会议费支出</w:t>
      </w:r>
      <w:r>
        <w:rPr>
          <w:rFonts w:hint="default" w:ascii="Times New Roman" w:hAnsi="Times New Roman" w:eastAsia="方正仿宋_GBK" w:cs="Times New Roman"/>
          <w:color w:val="auto"/>
          <w:sz w:val="32"/>
          <w:szCs w:val="32"/>
        </w:rPr>
        <w:t>0.66</w:t>
      </w:r>
      <w:r>
        <w:rPr>
          <w:rFonts w:hint="default" w:ascii="Times New Roman" w:hAnsi="Times New Roman" w:eastAsia="方正仿宋_GBK" w:cs="Times New Roman"/>
          <w:color w:val="auto"/>
          <w:sz w:val="32"/>
          <w:szCs w:val="32"/>
          <w:shd w:val="clear" w:color="auto" w:fill="FFFFFF"/>
        </w:rPr>
        <w:t>万元，较上年决算数增加0.66万元，增长100.0%，主要原因是</w:t>
      </w:r>
      <w:r>
        <w:rPr>
          <w:rFonts w:hint="default" w:ascii="Times New Roman" w:hAnsi="Times New Roman" w:eastAsia="方正仿宋_GBK" w:cs="Times New Roman"/>
          <w:color w:val="auto"/>
          <w:sz w:val="32"/>
          <w:szCs w:val="32"/>
          <w:lang w:val="en-US" w:eastAsia="zh-CN"/>
        </w:rPr>
        <w:t>2023年涉及机构改革，部分执法事项赋权街道，我单位组织并</w:t>
      </w:r>
      <w:r>
        <w:rPr>
          <w:rFonts w:hint="default" w:ascii="Times New Roman" w:hAnsi="Times New Roman" w:eastAsia="方正仿宋_GBK" w:cs="Times New Roman"/>
          <w:i w:val="0"/>
          <w:caps w:val="0"/>
          <w:color w:val="auto"/>
          <w:spacing w:val="0"/>
          <w:sz w:val="32"/>
          <w:szCs w:val="32"/>
          <w:shd w:val="clear" w:color="auto" w:fill="FFFFFF"/>
          <w:lang w:eastAsia="zh-CN"/>
        </w:rPr>
        <w:t>召开了</w:t>
      </w:r>
      <w:r>
        <w:rPr>
          <w:rFonts w:hint="default" w:ascii="Times New Roman" w:hAnsi="Times New Roman" w:eastAsia="方正仿宋_GBK" w:cs="Times New Roman"/>
          <w:i w:val="0"/>
          <w:caps w:val="0"/>
          <w:color w:val="auto"/>
          <w:spacing w:val="0"/>
          <w:sz w:val="32"/>
          <w:szCs w:val="32"/>
          <w:shd w:val="clear" w:color="auto" w:fill="FFFFFF"/>
        </w:rPr>
        <w:t>多场长寿区城管执法大型培训会</w:t>
      </w:r>
      <w:r>
        <w:rPr>
          <w:rFonts w:hint="default" w:ascii="Times New Roman" w:hAnsi="Times New Roman" w:eastAsia="方正仿宋_GBK" w:cs="Times New Roman"/>
          <w:i w:val="0"/>
          <w:caps w:val="0"/>
          <w:color w:val="auto"/>
          <w:spacing w:val="0"/>
          <w:sz w:val="32"/>
          <w:szCs w:val="32"/>
          <w:shd w:val="clear" w:color="auto" w:fill="FFFFFF"/>
          <w:lang w:eastAsia="zh-CN"/>
        </w:rPr>
        <w:t>议。</w:t>
      </w:r>
      <w:r>
        <w:rPr>
          <w:rFonts w:hint="default" w:ascii="Times New Roman" w:hAnsi="Times New Roman" w:eastAsia="方正仿宋_GBK" w:cs="Times New Roman"/>
          <w:color w:val="auto"/>
          <w:sz w:val="32"/>
          <w:szCs w:val="32"/>
          <w:shd w:val="clear" w:color="auto" w:fill="FFFFFF"/>
        </w:rPr>
        <w:t>本年度培训费支出</w:t>
      </w:r>
      <w:r>
        <w:rPr>
          <w:rFonts w:hint="default" w:ascii="Times New Roman" w:hAnsi="Times New Roman" w:eastAsia="方正仿宋_GBK" w:cs="Times New Roman"/>
          <w:color w:val="auto"/>
          <w:sz w:val="32"/>
          <w:szCs w:val="32"/>
        </w:rPr>
        <w:t>5.11</w:t>
      </w:r>
      <w:r>
        <w:rPr>
          <w:rFonts w:hint="default" w:ascii="Times New Roman" w:hAnsi="Times New Roman" w:eastAsia="方正仿宋_GBK" w:cs="Times New Roman"/>
          <w:color w:val="auto"/>
          <w:sz w:val="32"/>
          <w:szCs w:val="32"/>
          <w:shd w:val="clear" w:color="auto" w:fill="FFFFFF"/>
        </w:rPr>
        <w:t>万元，较上年决算数减少0.40万元，下降7.</w:t>
      </w:r>
      <w:r>
        <w:rPr>
          <w:rFonts w:hint="eastAsia" w:ascii="Times New Roman" w:hAnsi="Times New Roman" w:eastAsia="方正仿宋_GBK" w:cs="Times New Roman"/>
          <w:color w:val="auto"/>
          <w:sz w:val="32"/>
          <w:szCs w:val="32"/>
          <w:shd w:val="clear" w:color="auto" w:fill="FFFFFF"/>
          <w:lang w:val="en-US" w:eastAsia="zh-CN"/>
        </w:rPr>
        <w:t>3</w:t>
      </w:r>
      <w:r>
        <w:rPr>
          <w:rFonts w:hint="default" w:ascii="Times New Roman" w:hAnsi="Times New Roman" w:eastAsia="方正仿宋_GBK" w:cs="Times New Roman"/>
          <w:color w:val="auto"/>
          <w:sz w:val="32"/>
          <w:szCs w:val="32"/>
          <w:shd w:val="clear" w:color="auto" w:fill="FFFFFF"/>
        </w:rPr>
        <w:t>%，主要原因是</w:t>
      </w:r>
      <w:r>
        <w:rPr>
          <w:rFonts w:hint="default" w:ascii="Times New Roman" w:hAnsi="Times New Roman" w:eastAsia="方正仿宋_GBK" w:cs="Times New Roman"/>
          <w:color w:val="auto"/>
          <w:sz w:val="32"/>
          <w:szCs w:val="32"/>
          <w:shd w:val="clear" w:color="auto" w:fill="FFFFFF"/>
          <w:lang w:eastAsia="zh-CN"/>
        </w:rPr>
        <w:t>单位厉行节约，压减开支。</w:t>
      </w:r>
    </w:p>
    <w:p>
      <w:pPr>
        <w:pStyle w:val="10"/>
        <w:keepNext w:val="0"/>
        <w:keepLines w:val="0"/>
        <w:pageBreakBefore w:val="0"/>
        <w:kinsoku/>
        <w:wordWrap/>
        <w:overflowPunct/>
        <w:topLinePunct w:val="0"/>
        <w:autoSpaceDE w:val="0"/>
        <w:autoSpaceDN/>
        <w:bidi w:val="0"/>
        <w:adjustRightInd/>
        <w:spacing w:beforeAutospacing="0" w:line="594" w:lineRule="exact"/>
        <w:textAlignment w:val="auto"/>
        <w:rPr>
          <w:rFonts w:hint="default" w:ascii="Times New Roman" w:hAnsi="Times New Roman" w:eastAsia="方正楷体_GBK" w:cs="Times New Roman"/>
          <w:b/>
          <w:bCs/>
          <w:color w:val="auto"/>
          <w:sz w:val="32"/>
          <w:szCs w:val="32"/>
          <w:shd w:val="clear" w:color="auto" w:fill="FFFFFF"/>
          <w:lang w:bidi="ar"/>
        </w:rPr>
      </w:pPr>
      <w:r>
        <w:rPr>
          <w:rFonts w:hint="default" w:ascii="Times New Roman" w:hAnsi="Times New Roman" w:eastAsia="方正楷体_GBK" w:cs="Times New Roman"/>
          <w:b/>
          <w:bCs/>
          <w:color w:val="auto"/>
          <w:sz w:val="32"/>
          <w:szCs w:val="32"/>
          <w:shd w:val="clear" w:color="auto" w:fill="FFFFFF"/>
          <w:lang w:bidi="ar"/>
        </w:rPr>
        <w:t>（二）机关运行经费情况说明</w:t>
      </w:r>
    </w:p>
    <w:p>
      <w:pPr>
        <w:pStyle w:val="5"/>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shd w:val="clear" w:color="auto" w:fill="FFFFFF"/>
        </w:rPr>
        <w:t>2023年度本</w:t>
      </w:r>
      <w:r>
        <w:rPr>
          <w:rFonts w:hint="eastAsia" w:ascii="Times New Roman" w:hAnsi="Times New Roman" w:eastAsia="方正仿宋_GBK" w:cs="Times New Roman"/>
          <w:color w:val="auto"/>
          <w:sz w:val="32"/>
          <w:szCs w:val="32"/>
          <w:shd w:val="clear" w:color="auto" w:fill="FFFFFF"/>
          <w:lang w:val="en-US" w:eastAsia="zh-CN"/>
        </w:rPr>
        <w:t>单位</w:t>
      </w:r>
      <w:r>
        <w:rPr>
          <w:rFonts w:hint="default" w:ascii="Times New Roman" w:hAnsi="Times New Roman" w:eastAsia="方正仿宋_GBK" w:cs="Times New Roman"/>
          <w:color w:val="auto"/>
          <w:sz w:val="32"/>
          <w:szCs w:val="32"/>
          <w:shd w:val="clear" w:color="auto" w:fill="FFFFFF"/>
        </w:rPr>
        <w:t>机关运行经费支出</w:t>
      </w:r>
      <w:r>
        <w:rPr>
          <w:rFonts w:hint="default" w:ascii="Times New Roman" w:hAnsi="Times New Roman" w:eastAsia="方正仿宋_GBK" w:cs="Times New Roman"/>
          <w:color w:val="auto"/>
          <w:sz w:val="32"/>
          <w:szCs w:val="32"/>
        </w:rPr>
        <w:t>264.47</w:t>
      </w:r>
      <w:r>
        <w:rPr>
          <w:rFonts w:hint="default" w:ascii="Times New Roman" w:hAnsi="Times New Roman" w:eastAsia="方正仿宋_GBK" w:cs="Times New Roman"/>
          <w:color w:val="auto"/>
          <w:sz w:val="32"/>
          <w:szCs w:val="32"/>
          <w:shd w:val="clear" w:color="auto" w:fill="FFFFFF"/>
        </w:rPr>
        <w:t>万元，机关运行经费主要用于开支</w:t>
      </w:r>
      <w:r>
        <w:rPr>
          <w:rFonts w:hint="default" w:ascii="Times New Roman" w:hAnsi="Times New Roman" w:eastAsia="方正仿宋_GBK" w:cs="Times New Roman"/>
          <w:color w:val="auto"/>
          <w:sz w:val="32"/>
          <w:szCs w:val="32"/>
          <w:shd w:val="clear" w:color="auto" w:fill="FFFFFF"/>
          <w:lang w:eastAsia="zh-CN"/>
        </w:rPr>
        <w:t>办公费、水费、电费、邮电费、维修费、会议费、培训费、公车运行维护费</w:t>
      </w:r>
      <w:r>
        <w:rPr>
          <w:rFonts w:hint="eastAsia" w:ascii="Times New Roman" w:hAnsi="Times New Roman" w:eastAsia="方正仿宋_GBK" w:cs="Times New Roman"/>
          <w:color w:val="auto"/>
          <w:sz w:val="32"/>
          <w:szCs w:val="32"/>
          <w:shd w:val="clear" w:color="auto" w:fill="FFFFFF"/>
          <w:lang w:eastAsia="zh-CN"/>
        </w:rPr>
        <w:t>等</w:t>
      </w:r>
      <w:r>
        <w:rPr>
          <w:rFonts w:hint="default" w:ascii="Times New Roman" w:hAnsi="Times New Roman" w:eastAsia="方正仿宋_GBK" w:cs="Times New Roman"/>
          <w:color w:val="auto"/>
          <w:sz w:val="32"/>
          <w:szCs w:val="32"/>
          <w:shd w:val="clear" w:color="auto" w:fill="FFFFFF"/>
          <w:lang w:eastAsia="zh-CN"/>
        </w:rPr>
        <w:t>。</w:t>
      </w:r>
      <w:r>
        <w:rPr>
          <w:rFonts w:hint="default" w:ascii="Times New Roman" w:hAnsi="Times New Roman" w:eastAsia="方正仿宋_GBK" w:cs="Times New Roman"/>
          <w:color w:val="auto"/>
          <w:sz w:val="32"/>
          <w:szCs w:val="32"/>
          <w:shd w:val="clear" w:color="auto" w:fill="FFFFFF"/>
        </w:rPr>
        <w:t>机关运行经费较上年支出数增加15.99万元，增长6.4%，主要原因是</w:t>
      </w:r>
      <w:r>
        <w:rPr>
          <w:rFonts w:hint="eastAsia" w:ascii="Times New Roman" w:hAnsi="Times New Roman" w:eastAsia="方正仿宋_GBK" w:cs="Times New Roman"/>
          <w:color w:val="auto"/>
          <w:sz w:val="32"/>
          <w:szCs w:val="32"/>
          <w:shd w:val="clear" w:color="auto" w:fill="FFFFFF"/>
          <w:lang w:val="en-US" w:eastAsia="zh-CN"/>
        </w:rPr>
        <w:t>办公经费增加。</w:t>
      </w:r>
    </w:p>
    <w:p>
      <w:pPr>
        <w:pStyle w:val="10"/>
        <w:keepNext w:val="0"/>
        <w:keepLines w:val="0"/>
        <w:pageBreakBefore w:val="0"/>
        <w:kinsoku/>
        <w:wordWrap/>
        <w:overflowPunct/>
        <w:topLinePunct w:val="0"/>
        <w:autoSpaceDE w:val="0"/>
        <w:autoSpaceDN/>
        <w:bidi w:val="0"/>
        <w:adjustRightInd/>
        <w:spacing w:beforeAutospacing="0" w:line="594" w:lineRule="exact"/>
        <w:ind w:firstLine="643"/>
        <w:textAlignment w:val="auto"/>
        <w:rPr>
          <w:rFonts w:hint="default" w:ascii="Times New Roman" w:hAnsi="Times New Roman" w:eastAsia="方正楷体_GBK" w:cs="Times New Roman"/>
          <w:b/>
          <w:bCs/>
          <w:color w:val="auto"/>
          <w:sz w:val="32"/>
          <w:szCs w:val="32"/>
          <w:shd w:val="clear" w:color="auto" w:fill="FFFFFF"/>
          <w:lang w:bidi="ar"/>
        </w:rPr>
      </w:pPr>
      <w:r>
        <w:rPr>
          <w:rFonts w:hint="default" w:ascii="Times New Roman" w:hAnsi="Times New Roman" w:eastAsia="方正楷体_GBK" w:cs="Times New Roman"/>
          <w:b/>
          <w:bCs/>
          <w:color w:val="auto"/>
          <w:sz w:val="32"/>
          <w:szCs w:val="32"/>
          <w:shd w:val="clear" w:color="auto" w:fill="FFFFFF"/>
          <w:lang w:bidi="ar"/>
        </w:rPr>
        <w:t>（三）国有资产占用情况说明</w:t>
      </w:r>
    </w:p>
    <w:p>
      <w:pPr>
        <w:pStyle w:val="5"/>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shd w:val="clear" w:color="auto" w:fill="FFFFFF"/>
        </w:rPr>
        <w:t>  截至2023年12月31日，本</w:t>
      </w:r>
      <w:r>
        <w:rPr>
          <w:rFonts w:hint="eastAsia" w:ascii="Times New Roman" w:hAnsi="Times New Roman" w:eastAsia="方正仿宋_GBK" w:cs="Times New Roman"/>
          <w:color w:val="auto"/>
          <w:sz w:val="32"/>
          <w:szCs w:val="32"/>
          <w:shd w:val="clear" w:color="auto" w:fill="FFFFFF"/>
          <w:lang w:val="en-US" w:eastAsia="zh-CN"/>
        </w:rPr>
        <w:t>单位</w:t>
      </w:r>
      <w:r>
        <w:rPr>
          <w:rFonts w:hint="default" w:ascii="Times New Roman" w:hAnsi="Times New Roman" w:eastAsia="方正仿宋_GBK" w:cs="Times New Roman"/>
          <w:color w:val="auto"/>
          <w:sz w:val="32"/>
          <w:szCs w:val="32"/>
          <w:shd w:val="clear" w:color="auto" w:fill="FFFFFF"/>
        </w:rPr>
        <w:t>共有车辆</w:t>
      </w:r>
      <w:r>
        <w:rPr>
          <w:rFonts w:hint="default" w:ascii="Times New Roman" w:hAnsi="Times New Roman" w:eastAsia="方正仿宋_GBK" w:cs="Times New Roman"/>
          <w:color w:val="auto"/>
          <w:sz w:val="32"/>
          <w:szCs w:val="32"/>
        </w:rPr>
        <w:t>11</w:t>
      </w:r>
      <w:r>
        <w:rPr>
          <w:rFonts w:hint="default" w:ascii="Times New Roman" w:hAnsi="Times New Roman" w:eastAsia="方正仿宋_GBK" w:cs="Times New Roman"/>
          <w:color w:val="auto"/>
          <w:sz w:val="32"/>
          <w:szCs w:val="32"/>
          <w:shd w:val="clear" w:color="auto" w:fill="FFFFFF"/>
        </w:rPr>
        <w:t>辆，其中，副部（省）级及以上领导用车</w:t>
      </w:r>
      <w:r>
        <w:rPr>
          <w:rFonts w:hint="default" w:ascii="Times New Roman" w:hAnsi="Times New Roman" w:eastAsia="方正仿宋_GBK" w:cs="Times New Roman"/>
          <w:color w:val="auto"/>
          <w:sz w:val="32"/>
          <w:szCs w:val="32"/>
        </w:rPr>
        <w:t>0</w:t>
      </w:r>
      <w:r>
        <w:rPr>
          <w:rFonts w:hint="default" w:ascii="Times New Roman" w:hAnsi="Times New Roman" w:eastAsia="方正仿宋_GBK" w:cs="Times New Roman"/>
          <w:color w:val="auto"/>
          <w:sz w:val="32"/>
          <w:szCs w:val="32"/>
          <w:shd w:val="clear" w:color="auto" w:fill="FFFFFF"/>
        </w:rPr>
        <w:t>辆、主要负责人用车</w:t>
      </w:r>
      <w:r>
        <w:rPr>
          <w:rFonts w:hint="default" w:ascii="Times New Roman" w:hAnsi="Times New Roman" w:eastAsia="方正仿宋_GBK" w:cs="Times New Roman"/>
          <w:color w:val="auto"/>
          <w:sz w:val="32"/>
          <w:szCs w:val="32"/>
        </w:rPr>
        <w:t>0</w:t>
      </w:r>
      <w:r>
        <w:rPr>
          <w:rFonts w:hint="default" w:ascii="Times New Roman" w:hAnsi="Times New Roman" w:eastAsia="方正仿宋_GBK" w:cs="Times New Roman"/>
          <w:color w:val="auto"/>
          <w:sz w:val="32"/>
          <w:szCs w:val="32"/>
          <w:shd w:val="clear" w:color="auto" w:fill="FFFFFF"/>
        </w:rPr>
        <w:t>辆、机要通信用车</w:t>
      </w:r>
      <w:r>
        <w:rPr>
          <w:rFonts w:hint="default" w:ascii="Times New Roman" w:hAnsi="Times New Roman" w:eastAsia="方正仿宋_GBK" w:cs="Times New Roman"/>
          <w:color w:val="auto"/>
          <w:sz w:val="32"/>
          <w:szCs w:val="32"/>
        </w:rPr>
        <w:t>0</w:t>
      </w:r>
      <w:r>
        <w:rPr>
          <w:rFonts w:hint="default" w:ascii="Times New Roman" w:hAnsi="Times New Roman" w:eastAsia="方正仿宋_GBK" w:cs="Times New Roman"/>
          <w:color w:val="auto"/>
          <w:sz w:val="32"/>
          <w:szCs w:val="32"/>
          <w:shd w:val="clear" w:color="auto" w:fill="FFFFFF"/>
        </w:rPr>
        <w:t>辆、应急保障用车</w:t>
      </w:r>
      <w:r>
        <w:rPr>
          <w:rFonts w:hint="default" w:ascii="Times New Roman" w:hAnsi="Times New Roman" w:eastAsia="方正仿宋_GBK" w:cs="Times New Roman"/>
          <w:color w:val="auto"/>
          <w:sz w:val="32"/>
          <w:szCs w:val="32"/>
        </w:rPr>
        <w:t>11</w:t>
      </w:r>
      <w:r>
        <w:rPr>
          <w:rFonts w:hint="default" w:ascii="Times New Roman" w:hAnsi="Times New Roman" w:eastAsia="方正仿宋_GBK" w:cs="Times New Roman"/>
          <w:color w:val="auto"/>
          <w:sz w:val="32"/>
          <w:szCs w:val="32"/>
          <w:shd w:val="clear" w:color="auto" w:fill="FFFFFF"/>
        </w:rPr>
        <w:t>辆、执法执勤用车</w:t>
      </w:r>
      <w:r>
        <w:rPr>
          <w:rFonts w:hint="default" w:ascii="Times New Roman" w:hAnsi="Times New Roman" w:eastAsia="方正仿宋_GBK" w:cs="Times New Roman"/>
          <w:color w:val="auto"/>
          <w:sz w:val="32"/>
          <w:szCs w:val="32"/>
        </w:rPr>
        <w:t>0</w:t>
      </w:r>
      <w:r>
        <w:rPr>
          <w:rFonts w:hint="default" w:ascii="Times New Roman" w:hAnsi="Times New Roman" w:eastAsia="方正仿宋_GBK" w:cs="Times New Roman"/>
          <w:color w:val="auto"/>
          <w:sz w:val="32"/>
          <w:szCs w:val="32"/>
          <w:shd w:val="clear" w:color="auto" w:fill="FFFFFF"/>
        </w:rPr>
        <w:t>辆，特种专业技术用车</w:t>
      </w:r>
      <w:r>
        <w:rPr>
          <w:rFonts w:hint="default" w:ascii="Times New Roman" w:hAnsi="Times New Roman" w:eastAsia="方正仿宋_GBK" w:cs="Times New Roman"/>
          <w:color w:val="auto"/>
          <w:sz w:val="32"/>
          <w:szCs w:val="32"/>
        </w:rPr>
        <w:t>0</w:t>
      </w:r>
      <w:r>
        <w:rPr>
          <w:rFonts w:hint="default" w:ascii="Times New Roman" w:hAnsi="Times New Roman" w:eastAsia="方正仿宋_GBK" w:cs="Times New Roman"/>
          <w:color w:val="auto"/>
          <w:sz w:val="32"/>
          <w:szCs w:val="32"/>
          <w:shd w:val="clear" w:color="auto" w:fill="FFFFFF"/>
        </w:rPr>
        <w:t>辆，离退休干部用车</w:t>
      </w:r>
      <w:r>
        <w:rPr>
          <w:rFonts w:hint="default" w:ascii="Times New Roman" w:hAnsi="Times New Roman" w:eastAsia="方正仿宋_GBK" w:cs="Times New Roman"/>
          <w:color w:val="auto"/>
          <w:sz w:val="32"/>
          <w:szCs w:val="32"/>
        </w:rPr>
        <w:t>0</w:t>
      </w:r>
      <w:r>
        <w:rPr>
          <w:rFonts w:hint="default" w:ascii="Times New Roman" w:hAnsi="Times New Roman" w:eastAsia="方正仿宋_GBK" w:cs="Times New Roman"/>
          <w:color w:val="auto"/>
          <w:sz w:val="32"/>
          <w:szCs w:val="32"/>
          <w:shd w:val="clear" w:color="auto" w:fill="FFFFFF"/>
        </w:rPr>
        <w:t>辆。单价100万元（含）以上专用设备</w:t>
      </w:r>
      <w:r>
        <w:rPr>
          <w:rFonts w:hint="default" w:ascii="Times New Roman" w:hAnsi="Times New Roman" w:eastAsia="方正仿宋_GBK" w:cs="Times New Roman"/>
          <w:color w:val="auto"/>
          <w:sz w:val="32"/>
          <w:szCs w:val="32"/>
        </w:rPr>
        <w:t>0</w:t>
      </w:r>
      <w:r>
        <w:rPr>
          <w:rFonts w:hint="default" w:ascii="Times New Roman" w:hAnsi="Times New Roman" w:eastAsia="方正仿宋_GBK" w:cs="Times New Roman"/>
          <w:color w:val="auto"/>
          <w:sz w:val="32"/>
          <w:szCs w:val="32"/>
          <w:shd w:val="clear" w:color="auto" w:fill="FFFFFF"/>
        </w:rPr>
        <w:t>台（套）。</w:t>
      </w:r>
    </w:p>
    <w:p>
      <w:pPr>
        <w:pStyle w:val="10"/>
        <w:keepNext w:val="0"/>
        <w:keepLines w:val="0"/>
        <w:pageBreakBefore w:val="0"/>
        <w:kinsoku/>
        <w:wordWrap/>
        <w:overflowPunct/>
        <w:topLinePunct w:val="0"/>
        <w:autoSpaceDE w:val="0"/>
        <w:autoSpaceDN/>
        <w:bidi w:val="0"/>
        <w:adjustRightInd/>
        <w:spacing w:beforeAutospacing="0" w:line="594" w:lineRule="exact"/>
        <w:ind w:firstLine="643"/>
        <w:textAlignment w:val="auto"/>
        <w:rPr>
          <w:rFonts w:hint="default" w:ascii="Times New Roman" w:hAnsi="Times New Roman" w:eastAsia="方正楷体_GBK" w:cs="Times New Roman"/>
          <w:b/>
          <w:bCs/>
          <w:color w:val="auto"/>
          <w:sz w:val="32"/>
          <w:szCs w:val="32"/>
          <w:shd w:val="clear" w:color="auto" w:fill="FFFFFF"/>
          <w:lang w:bidi="ar"/>
        </w:rPr>
      </w:pPr>
      <w:r>
        <w:rPr>
          <w:rFonts w:hint="default" w:ascii="Times New Roman" w:hAnsi="Times New Roman" w:eastAsia="方正楷体_GBK" w:cs="Times New Roman"/>
          <w:b/>
          <w:bCs/>
          <w:color w:val="auto"/>
          <w:sz w:val="32"/>
          <w:szCs w:val="32"/>
          <w:shd w:val="clear" w:color="auto" w:fill="FFFFFF"/>
          <w:lang w:bidi="ar"/>
        </w:rPr>
        <w:t>（四）政府采购支出情况说明</w:t>
      </w:r>
    </w:p>
    <w:p>
      <w:pPr>
        <w:pStyle w:val="5"/>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sz w:val="32"/>
          <w:szCs w:val="32"/>
          <w:shd w:val="clear" w:color="auto" w:fill="FFFFFF"/>
        </w:rPr>
      </w:pPr>
      <w:r>
        <w:rPr>
          <w:rFonts w:hint="default" w:ascii="Times New Roman" w:hAnsi="Times New Roman" w:eastAsia="方正仿宋_GBK" w:cs="Times New Roman"/>
          <w:color w:val="auto"/>
          <w:sz w:val="32"/>
          <w:szCs w:val="32"/>
          <w:shd w:val="clear" w:color="auto" w:fill="FFFFFF"/>
        </w:rPr>
        <w:t>2023年度我单位未发生政府采购事项</w:t>
      </w:r>
      <w:r>
        <w:rPr>
          <w:rFonts w:hint="default" w:ascii="Times New Roman" w:hAnsi="Times New Roman" w:eastAsia="方正仿宋_GBK" w:cs="Times New Roman"/>
          <w:color w:val="auto"/>
          <w:sz w:val="32"/>
          <w:szCs w:val="32"/>
          <w:shd w:val="clear" w:color="auto" w:fill="FFFFFF"/>
          <w:lang w:eastAsia="zh-CN"/>
        </w:rPr>
        <w:t>，</w:t>
      </w:r>
      <w:r>
        <w:rPr>
          <w:rFonts w:hint="default" w:ascii="Times New Roman" w:hAnsi="Times New Roman" w:eastAsia="方正仿宋_GBK" w:cs="Times New Roman"/>
          <w:color w:val="auto"/>
          <w:sz w:val="32"/>
          <w:szCs w:val="32"/>
          <w:shd w:val="clear" w:color="auto" w:fill="FFFFFF"/>
        </w:rPr>
        <w:t>无相关经费支出。</w:t>
      </w:r>
    </w:p>
    <w:p>
      <w:pPr>
        <w:pStyle w:val="13"/>
        <w:keepNext w:val="0"/>
        <w:keepLines w:val="0"/>
        <w:pageBreakBefore w:val="0"/>
        <w:tabs>
          <w:tab w:val="center" w:pos="4153"/>
          <w:tab w:val="left" w:pos="7275"/>
        </w:tabs>
        <w:kinsoku/>
        <w:wordWrap/>
        <w:overflowPunct/>
        <w:topLinePunct w:val="0"/>
        <w:autoSpaceDN/>
        <w:bidi w:val="0"/>
        <w:adjustRightInd/>
        <w:spacing w:beforeAutospacing="0" w:line="594" w:lineRule="exact"/>
        <w:ind w:firstLine="640"/>
        <w:textAlignment w:val="auto"/>
        <w:rPr>
          <w:rStyle w:val="9"/>
          <w:rFonts w:hint="default" w:ascii="Times New Roman" w:hAnsi="Times New Roman" w:eastAsia="方正黑体_GBK" w:cs="Times New Roman"/>
          <w:b/>
          <w:bCs/>
          <w:color w:val="auto"/>
          <w:sz w:val="32"/>
          <w:szCs w:val="32"/>
          <w:highlight w:val="yellow"/>
          <w:shd w:val="clear" w:color="auto" w:fill="FFFFFF"/>
        </w:rPr>
      </w:pPr>
      <w:r>
        <w:rPr>
          <w:rFonts w:hint="default" w:ascii="Times New Roman" w:hAnsi="Times New Roman" w:eastAsia="方正黑体_GBK" w:cs="Times New Roman"/>
          <w:b/>
          <w:bCs/>
          <w:color w:val="auto"/>
          <w:sz w:val="32"/>
          <w:szCs w:val="32"/>
          <w:highlight w:val="none"/>
        </w:rPr>
        <w:t>五、预算绩效管理情况说明</w:t>
      </w:r>
    </w:p>
    <w:p>
      <w:pPr>
        <w:pStyle w:val="5"/>
        <w:keepNext w:val="0"/>
        <w:keepLines w:val="0"/>
        <w:pageBreakBefore w:val="0"/>
        <w:widowControl w:val="0"/>
        <w:kinsoku/>
        <w:wordWrap/>
        <w:overflowPunct/>
        <w:topLinePunct w:val="0"/>
        <w:autoSpaceDN/>
        <w:bidi w:val="0"/>
        <w:adjustRightInd/>
        <w:spacing w:before="0" w:beforeAutospacing="0" w:after="0" w:afterAutospacing="0" w:line="594" w:lineRule="exact"/>
        <w:ind w:firstLine="640" w:firstLineChars="200"/>
        <w:jc w:val="both"/>
        <w:textAlignment w:val="auto"/>
        <w:rPr>
          <w:rFonts w:hint="default" w:ascii="Times New Roman" w:hAnsi="Times New Roman" w:eastAsia="方正楷体_GBK" w:cs="Times New Roman"/>
          <w:b/>
          <w:bCs/>
          <w:color w:val="auto"/>
          <w:kern w:val="2"/>
          <w:sz w:val="32"/>
          <w:szCs w:val="32"/>
          <w:shd w:val="clear" w:color="auto" w:fill="FFFFFF"/>
        </w:rPr>
      </w:pPr>
      <w:r>
        <w:rPr>
          <w:rFonts w:hint="default" w:ascii="Times New Roman" w:hAnsi="Times New Roman" w:eastAsia="方正楷体_GBK" w:cs="Times New Roman"/>
          <w:b/>
          <w:bCs/>
          <w:color w:val="auto"/>
          <w:kern w:val="2"/>
          <w:sz w:val="32"/>
          <w:szCs w:val="32"/>
          <w:shd w:val="clear" w:color="auto" w:fill="FFFFFF"/>
          <w:lang w:bidi="ar"/>
        </w:rPr>
        <w:t>（一）预算绩效管理工作开展情况</w:t>
      </w:r>
    </w:p>
    <w:p>
      <w:pPr>
        <w:pStyle w:val="5"/>
        <w:keepNext w:val="0"/>
        <w:keepLines w:val="0"/>
        <w:pageBreakBefore w:val="0"/>
        <w:kinsoku/>
        <w:wordWrap/>
        <w:overflowPunct/>
        <w:topLinePunct w:val="0"/>
        <w:autoSpaceDN/>
        <w:bidi w:val="0"/>
        <w:adjustRightInd/>
        <w:spacing w:before="0" w:beforeAutospacing="0" w:after="0" w:afterAutospacing="0" w:line="594" w:lineRule="exact"/>
        <w:ind w:firstLine="640" w:firstLineChars="200"/>
        <w:textAlignment w:val="auto"/>
        <w:rPr>
          <w:rFonts w:hint="default" w:ascii="Times New Roman" w:hAnsi="Times New Roman" w:eastAsia="方正仿宋_GBK" w:cs="Times New Roman"/>
          <w:b w:val="0"/>
          <w:bCs w:val="0"/>
          <w:color w:val="auto"/>
          <w:sz w:val="32"/>
          <w:szCs w:val="32"/>
          <w:shd w:val="clear" w:color="auto" w:fill="FFFFFF"/>
        </w:rPr>
      </w:pPr>
      <w:r>
        <w:rPr>
          <w:rFonts w:hint="default" w:ascii="Times New Roman" w:hAnsi="Times New Roman" w:eastAsia="方正仿宋_GBK" w:cs="Times New Roman"/>
          <w:b w:val="0"/>
          <w:bCs w:val="0"/>
          <w:color w:val="auto"/>
          <w:sz w:val="32"/>
          <w:szCs w:val="32"/>
          <w:lang w:bidi="ar"/>
        </w:rPr>
        <w:t>根据预算绩效管理要求，</w:t>
      </w:r>
      <w:r>
        <w:rPr>
          <w:rFonts w:hint="eastAsia" w:ascii="Times New Roman" w:hAnsi="Times New Roman" w:eastAsia="方正仿宋_GBK" w:cs="Times New Roman"/>
          <w:b w:val="0"/>
          <w:bCs w:val="0"/>
          <w:color w:val="auto"/>
          <w:sz w:val="32"/>
          <w:szCs w:val="32"/>
          <w:lang w:val="en-US" w:eastAsia="zh-CN" w:bidi="ar"/>
        </w:rPr>
        <w:t>2023年</w:t>
      </w:r>
      <w:r>
        <w:rPr>
          <w:rFonts w:hint="default" w:ascii="Times New Roman" w:hAnsi="Times New Roman" w:eastAsia="方正仿宋_GBK" w:cs="Times New Roman"/>
          <w:b w:val="0"/>
          <w:bCs w:val="0"/>
          <w:color w:val="auto"/>
          <w:sz w:val="32"/>
          <w:szCs w:val="32"/>
          <w:lang w:eastAsia="zh-CN" w:bidi="ar"/>
        </w:rPr>
        <w:t>对单位</w:t>
      </w:r>
      <w:r>
        <w:rPr>
          <w:rFonts w:hint="default" w:ascii="Times New Roman" w:hAnsi="Times New Roman" w:eastAsia="方正仿宋_GBK" w:cs="Times New Roman"/>
          <w:b w:val="0"/>
          <w:bCs w:val="0"/>
          <w:color w:val="auto"/>
          <w:sz w:val="32"/>
          <w:szCs w:val="32"/>
          <w:lang w:bidi="ar"/>
        </w:rPr>
        <w:t>整体和</w:t>
      </w:r>
      <w:r>
        <w:rPr>
          <w:rFonts w:hint="default" w:ascii="Times New Roman" w:hAnsi="Times New Roman" w:eastAsia="方正仿宋_GBK" w:cs="Times New Roman"/>
          <w:b w:val="0"/>
          <w:bCs w:val="0"/>
          <w:color w:val="auto"/>
          <w:sz w:val="32"/>
          <w:szCs w:val="32"/>
          <w:lang w:val="en-US" w:eastAsia="zh-CN" w:bidi="ar"/>
        </w:rPr>
        <w:t>6</w:t>
      </w:r>
      <w:r>
        <w:rPr>
          <w:rFonts w:hint="default" w:ascii="Times New Roman" w:hAnsi="Times New Roman" w:eastAsia="方正仿宋_GBK" w:cs="Times New Roman"/>
          <w:b w:val="0"/>
          <w:bCs w:val="0"/>
          <w:color w:val="auto"/>
          <w:sz w:val="32"/>
          <w:szCs w:val="32"/>
          <w:lang w:bidi="ar"/>
        </w:rPr>
        <w:t>个项目开展了绩效自评，涉及财政拨款项目支出资金</w:t>
      </w:r>
      <w:r>
        <w:rPr>
          <w:rFonts w:hint="default" w:ascii="Times New Roman" w:hAnsi="Times New Roman" w:eastAsia="方正仿宋_GBK" w:cs="Times New Roman"/>
          <w:b w:val="0"/>
          <w:bCs w:val="0"/>
          <w:color w:val="auto"/>
          <w:sz w:val="32"/>
          <w:szCs w:val="32"/>
          <w:lang w:val="en-US" w:eastAsia="zh-CN" w:bidi="ar"/>
        </w:rPr>
        <w:t>1577.85</w:t>
      </w:r>
      <w:r>
        <w:rPr>
          <w:rFonts w:hint="default" w:ascii="Times New Roman" w:hAnsi="Times New Roman" w:eastAsia="方正仿宋_GBK" w:cs="Times New Roman"/>
          <w:b w:val="0"/>
          <w:bCs w:val="0"/>
          <w:color w:val="auto"/>
          <w:sz w:val="32"/>
          <w:szCs w:val="32"/>
          <w:lang w:bidi="ar"/>
        </w:rPr>
        <w:t>万元</w:t>
      </w:r>
      <w:r>
        <w:rPr>
          <w:rFonts w:hint="default" w:ascii="Times New Roman" w:hAnsi="Times New Roman" w:eastAsia="方正仿宋_GBK" w:cs="Times New Roman"/>
          <w:b w:val="0"/>
          <w:bCs w:val="0"/>
          <w:color w:val="auto"/>
          <w:sz w:val="32"/>
          <w:szCs w:val="32"/>
          <w:lang w:eastAsia="zh-CN" w:bidi="ar"/>
        </w:rPr>
        <w:t>。</w:t>
      </w:r>
    </w:p>
    <w:p>
      <w:pPr>
        <w:pStyle w:val="5"/>
        <w:keepNext w:val="0"/>
        <w:keepLines w:val="0"/>
        <w:pageBreakBefore w:val="0"/>
        <w:kinsoku/>
        <w:wordWrap/>
        <w:overflowPunct/>
        <w:topLinePunct w:val="0"/>
        <w:autoSpaceDN/>
        <w:bidi w:val="0"/>
        <w:adjustRightInd/>
        <w:spacing w:before="0" w:beforeAutospacing="0" w:after="0" w:afterAutospacing="0" w:line="594" w:lineRule="exact"/>
        <w:ind w:firstLine="640" w:firstLineChars="200"/>
        <w:textAlignment w:val="auto"/>
        <w:rPr>
          <w:rFonts w:hint="default" w:ascii="Times New Roman" w:hAnsi="Times New Roman" w:eastAsia="方正楷体_GBK" w:cs="Times New Roman"/>
          <w:b/>
          <w:bCs/>
          <w:color w:val="auto"/>
          <w:sz w:val="32"/>
          <w:szCs w:val="32"/>
        </w:rPr>
      </w:pPr>
      <w:r>
        <w:rPr>
          <w:rFonts w:hint="default" w:ascii="Times New Roman" w:hAnsi="Times New Roman" w:eastAsia="方正楷体_GBK" w:cs="Times New Roman"/>
          <w:b/>
          <w:bCs/>
          <w:color w:val="auto"/>
          <w:kern w:val="2"/>
          <w:sz w:val="32"/>
          <w:szCs w:val="32"/>
          <w:shd w:val="clear" w:color="auto" w:fill="FFFFFF"/>
          <w:lang w:bidi="ar"/>
        </w:rPr>
        <w:t>（二）</w:t>
      </w:r>
      <w:r>
        <w:rPr>
          <w:rFonts w:hint="default" w:ascii="Times New Roman" w:hAnsi="Times New Roman" w:eastAsia="方正楷体_GBK" w:cs="Times New Roman"/>
          <w:b/>
          <w:bCs/>
          <w:color w:val="auto"/>
          <w:sz w:val="32"/>
          <w:szCs w:val="32"/>
          <w:lang w:bidi="ar"/>
        </w:rPr>
        <w:t>绩效自评结果</w:t>
      </w:r>
    </w:p>
    <w:p>
      <w:pPr>
        <w:pStyle w:val="5"/>
        <w:keepNext w:val="0"/>
        <w:keepLines w:val="0"/>
        <w:pageBreakBefore w:val="0"/>
        <w:kinsoku/>
        <w:wordWrap/>
        <w:overflowPunct/>
        <w:topLinePunct w:val="0"/>
        <w:autoSpaceDN/>
        <w:bidi w:val="0"/>
        <w:adjustRightInd/>
        <w:spacing w:before="0" w:beforeAutospacing="0" w:after="0" w:afterAutospacing="0" w:line="594" w:lineRule="exact"/>
        <w:ind w:firstLine="640" w:firstLineChars="200"/>
        <w:textAlignment w:val="auto"/>
        <w:rPr>
          <w:rFonts w:hint="default" w:ascii="Times New Roman" w:hAnsi="Times New Roman" w:eastAsia="方正仿宋_GBK" w:cs="Times New Roman"/>
          <w:color w:val="auto"/>
          <w:kern w:val="2"/>
          <w:sz w:val="32"/>
          <w:szCs w:val="32"/>
          <w:shd w:val="clear" w:color="auto" w:fill="FFFFFF"/>
        </w:rPr>
      </w:pPr>
      <w:r>
        <w:rPr>
          <w:rFonts w:hint="default" w:ascii="Times New Roman" w:hAnsi="Times New Roman" w:eastAsia="方正仿宋_GBK" w:cs="Times New Roman"/>
          <w:color w:val="auto"/>
          <w:sz w:val="32"/>
          <w:szCs w:val="32"/>
          <w:lang w:bidi="ar"/>
        </w:rPr>
        <w:t>详见附件2023年度绩效自评公开表（《项目绩效自评结果汇总表》、《项目支出绩效自评表》）。</w:t>
      </w:r>
    </w:p>
    <w:p>
      <w:pPr>
        <w:pStyle w:val="5"/>
        <w:keepNext w:val="0"/>
        <w:keepLines w:val="0"/>
        <w:pageBreakBefore w:val="0"/>
        <w:widowControl w:val="0"/>
        <w:kinsoku/>
        <w:wordWrap/>
        <w:overflowPunct/>
        <w:topLinePunct w:val="0"/>
        <w:autoSpaceDN/>
        <w:bidi w:val="0"/>
        <w:adjustRightInd/>
        <w:spacing w:before="0" w:beforeAutospacing="0" w:after="0" w:afterAutospacing="0" w:line="594" w:lineRule="exact"/>
        <w:ind w:firstLine="640" w:firstLineChars="200"/>
        <w:jc w:val="both"/>
        <w:textAlignment w:val="auto"/>
        <w:rPr>
          <w:rFonts w:hint="default" w:ascii="Times New Roman" w:hAnsi="Times New Roman" w:eastAsia="方正楷体_GBK" w:cs="Times New Roman"/>
          <w:b/>
          <w:bCs/>
          <w:color w:val="auto"/>
          <w:kern w:val="2"/>
          <w:sz w:val="32"/>
          <w:szCs w:val="32"/>
          <w:shd w:val="clear" w:color="auto" w:fill="FFFFFF"/>
        </w:rPr>
      </w:pPr>
      <w:r>
        <w:rPr>
          <w:rFonts w:hint="default" w:ascii="Times New Roman" w:hAnsi="Times New Roman" w:eastAsia="方正楷体_GBK" w:cs="Times New Roman"/>
          <w:b/>
          <w:bCs/>
          <w:color w:val="auto"/>
          <w:kern w:val="2"/>
          <w:sz w:val="32"/>
          <w:szCs w:val="32"/>
          <w:shd w:val="clear" w:color="auto" w:fill="FFFFFF"/>
          <w:lang w:bidi="ar"/>
        </w:rPr>
        <w:t>（三）财政绩效评价情况</w:t>
      </w:r>
    </w:p>
    <w:p>
      <w:pPr>
        <w:pStyle w:val="5"/>
        <w:keepNext w:val="0"/>
        <w:keepLines w:val="0"/>
        <w:pageBreakBefore w:val="0"/>
        <w:widowControl w:val="0"/>
        <w:kinsoku/>
        <w:wordWrap/>
        <w:overflowPunct/>
        <w:topLinePunct w:val="0"/>
        <w:autoSpaceDN/>
        <w:bidi w:val="0"/>
        <w:adjustRightInd/>
        <w:spacing w:before="0" w:beforeAutospacing="0" w:after="0" w:afterAutospacing="0" w:line="594" w:lineRule="exact"/>
        <w:ind w:firstLine="640" w:firstLineChars="200"/>
        <w:jc w:val="both"/>
        <w:textAlignment w:val="auto"/>
        <w:rPr>
          <w:rFonts w:hint="eastAsia" w:ascii="方正仿宋_GBK" w:hAnsi="方正仿宋_GBK" w:eastAsia="方正仿宋_GBK" w:cs="方正仿宋_GBK"/>
          <w:color w:val="auto"/>
          <w:sz w:val="32"/>
          <w:szCs w:val="32"/>
          <w:shd w:val="clear" w:color="auto" w:fill="FFFFFF"/>
          <w:lang w:bidi="ar"/>
        </w:rPr>
      </w:pPr>
      <w:r>
        <w:rPr>
          <w:rStyle w:val="9"/>
          <w:rFonts w:hint="eastAsia" w:ascii="方正仿宋_GBK" w:hAnsi="方正仿宋_GBK" w:eastAsia="方正仿宋_GBK" w:cs="方正仿宋_GBK"/>
          <w:b w:val="0"/>
          <w:bCs/>
          <w:color w:val="auto"/>
          <w:sz w:val="32"/>
          <w:szCs w:val="32"/>
          <w:highlight w:val="none"/>
          <w:shd w:val="clear" w:color="auto" w:fill="FFFFFF"/>
          <w:lang w:val="en-US" w:eastAsia="zh-CN"/>
        </w:rPr>
        <w:t>2023年</w:t>
      </w:r>
      <w:r>
        <w:rPr>
          <w:rStyle w:val="9"/>
          <w:rFonts w:hint="eastAsia" w:ascii="方正仿宋_GBK" w:hAnsi="方正仿宋_GBK" w:eastAsia="方正仿宋_GBK" w:cs="方正仿宋_GBK"/>
          <w:b w:val="0"/>
          <w:bCs/>
          <w:color w:val="auto"/>
          <w:sz w:val="32"/>
          <w:szCs w:val="32"/>
          <w:highlight w:val="none"/>
          <w:shd w:val="clear" w:color="auto" w:fill="FFFFFF"/>
        </w:rPr>
        <w:t>区财政局未委托第三方对我单位开展绩效评价。</w:t>
      </w:r>
    </w:p>
    <w:p>
      <w:pPr>
        <w:pStyle w:val="5"/>
        <w:keepNext w:val="0"/>
        <w:keepLines w:val="0"/>
        <w:pageBreakBefore w:val="0"/>
        <w:shd w:val="clear" w:color="auto" w:fill="FFFFFF"/>
        <w:kinsoku/>
        <w:wordWrap/>
        <w:overflowPunct/>
        <w:topLinePunct w:val="0"/>
        <w:autoSpaceDN/>
        <w:bidi w:val="0"/>
        <w:adjustRightInd/>
        <w:spacing w:beforeAutospacing="0" w:line="594" w:lineRule="exact"/>
        <w:textAlignment w:val="auto"/>
        <w:rPr>
          <w:rStyle w:val="9"/>
          <w:rFonts w:hint="default" w:ascii="Times New Roman" w:hAnsi="Times New Roman" w:eastAsia="方正黑体_GBK" w:cs="Times New Roman"/>
          <w:color w:val="auto"/>
          <w:sz w:val="32"/>
          <w:szCs w:val="32"/>
          <w:shd w:val="clear" w:color="auto" w:fill="FFFFFF"/>
        </w:rPr>
      </w:pPr>
      <w:r>
        <w:rPr>
          <w:rStyle w:val="9"/>
          <w:rFonts w:hint="default" w:ascii="Times New Roman" w:hAnsi="Times New Roman" w:eastAsia="方正黑体_GBK" w:cs="Times New Roman"/>
          <w:color w:val="auto"/>
          <w:sz w:val="32"/>
          <w:szCs w:val="32"/>
          <w:shd w:val="clear" w:color="auto" w:fill="FFFFFF"/>
        </w:rPr>
        <w:t>  六、专业名词解释</w:t>
      </w:r>
    </w:p>
    <w:p>
      <w:pPr>
        <w:pStyle w:val="5"/>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shd w:val="clear" w:color="auto" w:fill="FFFFFF"/>
        </w:rPr>
        <w:t>以下为常见专业名词解释目录，仅供参考，</w:t>
      </w:r>
    </w:p>
    <w:p>
      <w:pPr>
        <w:pStyle w:val="5"/>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bCs/>
          <w:color w:val="auto"/>
          <w:sz w:val="32"/>
          <w:szCs w:val="32"/>
          <w:shd w:val="clear" w:color="auto" w:fill="FFFFFF"/>
          <w:lang w:bidi="ar"/>
        </w:rPr>
        <w:t> </w:t>
      </w:r>
      <w:r>
        <w:rPr>
          <w:rFonts w:hint="default" w:ascii="Times New Roman" w:hAnsi="Times New Roman" w:eastAsia="楷体" w:cs="Times New Roman"/>
          <w:b/>
          <w:bCs/>
          <w:color w:val="auto"/>
          <w:sz w:val="32"/>
          <w:szCs w:val="32"/>
          <w:shd w:val="clear" w:color="auto" w:fill="FFFFFF"/>
          <w:lang w:bidi="ar"/>
        </w:rPr>
        <w:t>（一）财政拨款收入：</w:t>
      </w:r>
      <w:r>
        <w:rPr>
          <w:rFonts w:hint="default" w:ascii="Times New Roman" w:hAnsi="Times New Roman" w:eastAsia="方正仿宋_GBK" w:cs="Times New Roman"/>
          <w:color w:val="auto"/>
          <w:sz w:val="32"/>
          <w:szCs w:val="32"/>
          <w:shd w:val="clear" w:color="auto" w:fill="FFFFFF"/>
        </w:rPr>
        <w:t>指本年度从本级财政部门取得的财政拨款，包括一般公共预算财政拨款和政府性基金预算财政拨款。</w:t>
      </w:r>
    </w:p>
    <w:p>
      <w:pPr>
        <w:pStyle w:val="5"/>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sz w:val="32"/>
          <w:szCs w:val="32"/>
        </w:rPr>
      </w:pPr>
      <w:r>
        <w:rPr>
          <w:rStyle w:val="9"/>
          <w:rFonts w:hint="default" w:ascii="Times New Roman" w:hAnsi="Times New Roman" w:eastAsia="方正仿宋_GBK" w:cs="Times New Roman"/>
          <w:color w:val="auto"/>
          <w:sz w:val="32"/>
          <w:szCs w:val="32"/>
          <w:shd w:val="clear" w:color="auto" w:fill="FFFFFF"/>
        </w:rPr>
        <w:t> </w:t>
      </w:r>
      <w:r>
        <w:rPr>
          <w:rStyle w:val="9"/>
          <w:rFonts w:hint="default" w:ascii="Times New Roman" w:hAnsi="Times New Roman" w:eastAsia="楷体" w:cs="Times New Roman"/>
          <w:color w:val="auto"/>
          <w:sz w:val="32"/>
          <w:szCs w:val="32"/>
          <w:shd w:val="clear" w:color="auto" w:fill="FFFFFF"/>
        </w:rPr>
        <w:t>（二）事业收入</w:t>
      </w:r>
      <w:r>
        <w:rPr>
          <w:rFonts w:hint="default" w:ascii="Times New Roman" w:hAnsi="Times New Roman" w:eastAsia="楷体" w:cs="Times New Roman"/>
          <w:color w:val="auto"/>
          <w:sz w:val="32"/>
          <w:szCs w:val="32"/>
          <w:shd w:val="clear" w:color="auto" w:fill="FFFFFF"/>
        </w:rPr>
        <w:t>：</w:t>
      </w:r>
      <w:r>
        <w:rPr>
          <w:rFonts w:hint="default" w:ascii="Times New Roman" w:hAnsi="Times New Roman" w:eastAsia="方正仿宋_GBK" w:cs="Times New Roman"/>
          <w:color w:val="auto"/>
          <w:sz w:val="32"/>
          <w:szCs w:val="32"/>
          <w:shd w:val="clear" w:color="auto" w:fill="FFFFFF"/>
        </w:rPr>
        <w:t>指事业单位开展专业业务活动及其辅助活动取得的现金流入；事业单位收到的财政专户实际核拨的教育收费等资金在此反映。</w:t>
      </w:r>
    </w:p>
    <w:p>
      <w:pPr>
        <w:pStyle w:val="5"/>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sz w:val="32"/>
          <w:szCs w:val="32"/>
        </w:rPr>
      </w:pPr>
      <w:r>
        <w:rPr>
          <w:rStyle w:val="9"/>
          <w:rFonts w:hint="default" w:ascii="Times New Roman" w:hAnsi="Times New Roman" w:eastAsia="方正仿宋_GBK" w:cs="Times New Roman"/>
          <w:color w:val="auto"/>
          <w:sz w:val="32"/>
          <w:szCs w:val="32"/>
          <w:shd w:val="clear" w:color="auto" w:fill="FFFFFF"/>
        </w:rPr>
        <w:t> </w:t>
      </w:r>
      <w:r>
        <w:rPr>
          <w:rStyle w:val="9"/>
          <w:rFonts w:hint="default" w:ascii="Times New Roman" w:hAnsi="Times New Roman" w:eastAsia="楷体" w:cs="Times New Roman"/>
          <w:color w:val="auto"/>
          <w:sz w:val="32"/>
          <w:szCs w:val="32"/>
          <w:shd w:val="clear" w:color="auto" w:fill="FFFFFF"/>
        </w:rPr>
        <w:t>（三）经营收入</w:t>
      </w:r>
      <w:r>
        <w:rPr>
          <w:rFonts w:hint="default" w:ascii="Times New Roman" w:hAnsi="Times New Roman" w:eastAsia="楷体" w:cs="Times New Roman"/>
          <w:color w:val="auto"/>
          <w:sz w:val="32"/>
          <w:szCs w:val="32"/>
          <w:shd w:val="clear" w:color="auto" w:fill="FFFFFF"/>
        </w:rPr>
        <w:t>：</w:t>
      </w:r>
      <w:r>
        <w:rPr>
          <w:rFonts w:hint="default" w:ascii="Times New Roman" w:hAnsi="Times New Roman" w:eastAsia="方正仿宋_GBK" w:cs="Times New Roman"/>
          <w:color w:val="auto"/>
          <w:sz w:val="32"/>
          <w:szCs w:val="32"/>
          <w:shd w:val="clear" w:color="auto" w:fill="FFFFFF"/>
        </w:rPr>
        <w:t>指事业单位在专业业务活动及其辅助活动之外开展非独立核算经营活动取得的现金流入。</w:t>
      </w:r>
    </w:p>
    <w:p>
      <w:pPr>
        <w:pStyle w:val="5"/>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sz w:val="32"/>
          <w:szCs w:val="32"/>
        </w:rPr>
      </w:pPr>
      <w:r>
        <w:rPr>
          <w:rStyle w:val="9"/>
          <w:rFonts w:hint="default" w:ascii="Times New Roman" w:hAnsi="Times New Roman" w:eastAsia="方正仿宋_GBK" w:cs="Times New Roman"/>
          <w:color w:val="auto"/>
          <w:sz w:val="32"/>
          <w:szCs w:val="32"/>
          <w:shd w:val="clear" w:color="auto" w:fill="FFFFFF"/>
        </w:rPr>
        <w:t> </w:t>
      </w:r>
      <w:r>
        <w:rPr>
          <w:rStyle w:val="9"/>
          <w:rFonts w:hint="default" w:ascii="Times New Roman" w:hAnsi="Times New Roman" w:eastAsia="楷体" w:cs="Times New Roman"/>
          <w:color w:val="auto"/>
          <w:sz w:val="32"/>
          <w:szCs w:val="32"/>
          <w:shd w:val="clear" w:color="auto" w:fill="FFFFFF"/>
        </w:rPr>
        <w:t>（四）其他收入</w:t>
      </w:r>
      <w:r>
        <w:rPr>
          <w:rFonts w:hint="default" w:ascii="Times New Roman" w:hAnsi="Times New Roman" w:eastAsia="楷体" w:cs="Times New Roman"/>
          <w:color w:val="auto"/>
          <w:sz w:val="32"/>
          <w:szCs w:val="32"/>
          <w:shd w:val="clear" w:color="auto" w:fill="FFFFFF"/>
        </w:rPr>
        <w:t>：</w:t>
      </w:r>
      <w:r>
        <w:rPr>
          <w:rFonts w:hint="default" w:ascii="Times New Roman" w:hAnsi="Times New Roman" w:eastAsia="方正仿宋_GBK" w:cs="Times New Roman"/>
          <w:color w:val="auto"/>
          <w:sz w:val="32"/>
          <w:szCs w:val="32"/>
          <w:shd w:val="clear" w:color="auto" w:fill="FFFFFF"/>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pPr>
        <w:pStyle w:val="5"/>
        <w:keepNext w:val="0"/>
        <w:keepLines w:val="0"/>
        <w:pageBreakBefore w:val="0"/>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hint="default" w:ascii="Times New Roman" w:hAnsi="Times New Roman" w:eastAsia="方正仿宋_GBK" w:cs="Times New Roman"/>
          <w:color w:val="auto"/>
          <w:sz w:val="32"/>
          <w:szCs w:val="32"/>
        </w:rPr>
      </w:pPr>
      <w:r>
        <w:rPr>
          <w:rStyle w:val="9"/>
          <w:rFonts w:hint="default" w:ascii="Times New Roman" w:hAnsi="Times New Roman" w:eastAsia="楷体" w:cs="Times New Roman"/>
          <w:color w:val="auto"/>
          <w:sz w:val="32"/>
          <w:szCs w:val="32"/>
          <w:shd w:val="clear" w:color="auto" w:fill="FFFFFF"/>
        </w:rPr>
        <w:t>（五）使用非财政拨款结余</w:t>
      </w:r>
      <w:r>
        <w:rPr>
          <w:rFonts w:hint="default" w:ascii="Times New Roman" w:hAnsi="Times New Roman" w:eastAsia="楷体" w:cs="Times New Roman"/>
          <w:color w:val="auto"/>
          <w:sz w:val="32"/>
          <w:szCs w:val="32"/>
          <w:shd w:val="clear" w:color="auto" w:fill="FFFFFF"/>
        </w:rPr>
        <w:t>：</w:t>
      </w:r>
      <w:r>
        <w:rPr>
          <w:rFonts w:hint="default" w:ascii="Times New Roman" w:hAnsi="Times New Roman" w:eastAsia="方正仿宋_GBK" w:cs="Times New Roman"/>
          <w:color w:val="auto"/>
          <w:sz w:val="32"/>
          <w:szCs w:val="32"/>
          <w:shd w:val="clear" w:color="auto" w:fill="FFFFFF"/>
        </w:rPr>
        <w:t>指单位在当年的“财政拨款收入”、“事业收入”、“经营收入”、“其他收入”等不足以安排当年支出的情况下，使用以前年度积累的非财政拨款结余弥补本年度收支缺口的资金。</w:t>
      </w:r>
    </w:p>
    <w:p>
      <w:pPr>
        <w:pStyle w:val="5"/>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sz w:val="32"/>
          <w:szCs w:val="32"/>
        </w:rPr>
      </w:pPr>
      <w:r>
        <w:rPr>
          <w:rStyle w:val="9"/>
          <w:rFonts w:hint="default" w:ascii="Times New Roman" w:hAnsi="Times New Roman" w:eastAsia="方正仿宋_GBK" w:cs="Times New Roman"/>
          <w:color w:val="auto"/>
          <w:sz w:val="32"/>
          <w:szCs w:val="32"/>
          <w:shd w:val="clear" w:color="auto" w:fill="FFFFFF"/>
        </w:rPr>
        <w:t> </w:t>
      </w:r>
      <w:r>
        <w:rPr>
          <w:rStyle w:val="9"/>
          <w:rFonts w:hint="default" w:ascii="Times New Roman" w:hAnsi="Times New Roman" w:eastAsia="楷体" w:cs="Times New Roman"/>
          <w:color w:val="auto"/>
          <w:sz w:val="32"/>
          <w:szCs w:val="32"/>
          <w:shd w:val="clear" w:color="auto" w:fill="FFFFFF"/>
        </w:rPr>
        <w:t>（六）年初结转和结余</w:t>
      </w:r>
      <w:r>
        <w:rPr>
          <w:rFonts w:hint="default" w:ascii="Times New Roman" w:hAnsi="Times New Roman" w:eastAsia="楷体" w:cs="Times New Roman"/>
          <w:color w:val="auto"/>
          <w:sz w:val="32"/>
          <w:szCs w:val="32"/>
          <w:shd w:val="clear" w:color="auto" w:fill="FFFFFF"/>
        </w:rPr>
        <w:t>：</w:t>
      </w:r>
      <w:r>
        <w:rPr>
          <w:rFonts w:hint="default" w:ascii="Times New Roman" w:hAnsi="Times New Roman" w:eastAsia="方正仿宋_GBK" w:cs="Times New Roman"/>
          <w:color w:val="auto"/>
          <w:sz w:val="32"/>
          <w:szCs w:val="32"/>
          <w:shd w:val="clear" w:color="auto" w:fill="FFFFFF"/>
        </w:rPr>
        <w:t>指单位上年结转本年使用的基本支出结转、项目支出结转和结余、经营结余。</w:t>
      </w:r>
    </w:p>
    <w:p>
      <w:pPr>
        <w:pStyle w:val="5"/>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sz w:val="32"/>
          <w:szCs w:val="32"/>
        </w:rPr>
      </w:pPr>
      <w:r>
        <w:rPr>
          <w:rStyle w:val="9"/>
          <w:rFonts w:hint="default" w:ascii="Times New Roman" w:hAnsi="Times New Roman" w:eastAsia="方正仿宋_GBK" w:cs="Times New Roman"/>
          <w:color w:val="auto"/>
          <w:sz w:val="32"/>
          <w:szCs w:val="32"/>
          <w:shd w:val="clear" w:color="auto" w:fill="FFFFFF"/>
        </w:rPr>
        <w:t> </w:t>
      </w:r>
      <w:r>
        <w:rPr>
          <w:rStyle w:val="9"/>
          <w:rFonts w:hint="default" w:ascii="Times New Roman" w:hAnsi="Times New Roman" w:eastAsia="楷体" w:cs="Times New Roman"/>
          <w:color w:val="auto"/>
          <w:sz w:val="32"/>
          <w:szCs w:val="32"/>
          <w:shd w:val="clear" w:color="auto" w:fill="FFFFFF"/>
        </w:rPr>
        <w:t>（七）结余分配</w:t>
      </w:r>
      <w:r>
        <w:rPr>
          <w:rFonts w:hint="default" w:ascii="Times New Roman" w:hAnsi="Times New Roman" w:eastAsia="楷体" w:cs="Times New Roman"/>
          <w:color w:val="auto"/>
          <w:sz w:val="32"/>
          <w:szCs w:val="32"/>
          <w:shd w:val="clear" w:color="auto" w:fill="FFFFFF"/>
        </w:rPr>
        <w:t>：</w:t>
      </w:r>
      <w:r>
        <w:rPr>
          <w:rFonts w:hint="default" w:ascii="Times New Roman" w:hAnsi="Times New Roman" w:eastAsia="方正仿宋_GBK" w:cs="Times New Roman"/>
          <w:color w:val="auto"/>
          <w:sz w:val="32"/>
          <w:szCs w:val="32"/>
          <w:shd w:val="clear" w:color="auto" w:fill="FFFFFF"/>
        </w:rPr>
        <w:t>指单位按照国家有关规定，缴纳所得税、提取专用基金、转入非财政拨款结余等当年结余的分配情况。</w:t>
      </w:r>
    </w:p>
    <w:p>
      <w:pPr>
        <w:pStyle w:val="5"/>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sz w:val="32"/>
          <w:szCs w:val="32"/>
        </w:rPr>
      </w:pPr>
      <w:r>
        <w:rPr>
          <w:rStyle w:val="9"/>
          <w:rFonts w:hint="default" w:ascii="Times New Roman" w:hAnsi="Times New Roman" w:eastAsia="方正仿宋_GBK" w:cs="Times New Roman"/>
          <w:color w:val="auto"/>
          <w:sz w:val="32"/>
          <w:szCs w:val="32"/>
          <w:shd w:val="clear" w:color="auto" w:fill="FFFFFF"/>
        </w:rPr>
        <w:t> </w:t>
      </w:r>
      <w:r>
        <w:rPr>
          <w:rStyle w:val="9"/>
          <w:rFonts w:hint="default" w:ascii="Times New Roman" w:hAnsi="Times New Roman" w:eastAsia="楷体" w:cs="Times New Roman"/>
          <w:color w:val="auto"/>
          <w:sz w:val="32"/>
          <w:szCs w:val="32"/>
          <w:shd w:val="clear" w:color="auto" w:fill="FFFFFF"/>
        </w:rPr>
        <w:t>（八）年末结转和结余</w:t>
      </w:r>
      <w:r>
        <w:rPr>
          <w:rFonts w:hint="default" w:ascii="Times New Roman" w:hAnsi="Times New Roman" w:eastAsia="楷体" w:cs="Times New Roman"/>
          <w:color w:val="auto"/>
          <w:sz w:val="32"/>
          <w:szCs w:val="32"/>
          <w:shd w:val="clear" w:color="auto" w:fill="FFFFFF"/>
        </w:rPr>
        <w:t>：</w:t>
      </w:r>
      <w:r>
        <w:rPr>
          <w:rFonts w:hint="default" w:ascii="Times New Roman" w:hAnsi="Times New Roman" w:eastAsia="方正仿宋_GBK" w:cs="Times New Roman"/>
          <w:color w:val="auto"/>
          <w:sz w:val="32"/>
          <w:szCs w:val="32"/>
          <w:shd w:val="clear" w:color="auto" w:fill="FFFFFF"/>
        </w:rPr>
        <w:t>指单位结转下年的基本支出结转、项目支出结转和结余、经营结余。</w:t>
      </w:r>
    </w:p>
    <w:p>
      <w:pPr>
        <w:pStyle w:val="5"/>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sz w:val="32"/>
          <w:szCs w:val="32"/>
        </w:rPr>
      </w:pPr>
      <w:r>
        <w:rPr>
          <w:rStyle w:val="9"/>
          <w:rFonts w:hint="default" w:ascii="Times New Roman" w:hAnsi="Times New Roman" w:eastAsia="方正仿宋_GBK" w:cs="Times New Roman"/>
          <w:color w:val="auto"/>
          <w:sz w:val="32"/>
          <w:szCs w:val="32"/>
          <w:shd w:val="clear" w:color="auto" w:fill="FFFFFF"/>
        </w:rPr>
        <w:t> </w:t>
      </w:r>
      <w:r>
        <w:rPr>
          <w:rStyle w:val="9"/>
          <w:rFonts w:hint="default" w:ascii="Times New Roman" w:hAnsi="Times New Roman" w:eastAsia="楷体" w:cs="Times New Roman"/>
          <w:color w:val="auto"/>
          <w:sz w:val="32"/>
          <w:szCs w:val="32"/>
          <w:shd w:val="clear" w:color="auto" w:fill="FFFFFF"/>
        </w:rPr>
        <w:t>（九）基本支出</w:t>
      </w:r>
      <w:r>
        <w:rPr>
          <w:rFonts w:hint="default" w:ascii="Times New Roman" w:hAnsi="Times New Roman" w:eastAsia="楷体" w:cs="Times New Roman"/>
          <w:color w:val="auto"/>
          <w:sz w:val="32"/>
          <w:szCs w:val="32"/>
          <w:shd w:val="clear" w:color="auto" w:fill="FFFFFF"/>
        </w:rPr>
        <w:t>：</w:t>
      </w:r>
      <w:r>
        <w:rPr>
          <w:rFonts w:hint="default" w:ascii="Times New Roman" w:hAnsi="Times New Roman" w:eastAsia="方正仿宋_GBK" w:cs="Times New Roman"/>
          <w:color w:val="auto"/>
          <w:sz w:val="32"/>
          <w:szCs w:val="32"/>
          <w:shd w:val="clear" w:color="auto" w:fill="FFFFFF"/>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pStyle w:val="5"/>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sz w:val="32"/>
          <w:szCs w:val="32"/>
        </w:rPr>
      </w:pPr>
      <w:r>
        <w:rPr>
          <w:rStyle w:val="9"/>
          <w:rFonts w:hint="default" w:ascii="Times New Roman" w:hAnsi="Times New Roman" w:eastAsia="方正仿宋_GBK" w:cs="Times New Roman"/>
          <w:color w:val="auto"/>
          <w:sz w:val="32"/>
          <w:szCs w:val="32"/>
          <w:shd w:val="clear" w:color="auto" w:fill="FFFFFF"/>
        </w:rPr>
        <w:t> </w:t>
      </w:r>
      <w:r>
        <w:rPr>
          <w:rStyle w:val="9"/>
          <w:rFonts w:hint="default" w:ascii="Times New Roman" w:hAnsi="Times New Roman" w:eastAsia="楷体" w:cs="Times New Roman"/>
          <w:color w:val="auto"/>
          <w:sz w:val="32"/>
          <w:szCs w:val="32"/>
          <w:shd w:val="clear" w:color="auto" w:fill="FFFFFF"/>
        </w:rPr>
        <w:t>（十）项目支出</w:t>
      </w:r>
      <w:r>
        <w:rPr>
          <w:rFonts w:hint="default" w:ascii="Times New Roman" w:hAnsi="Times New Roman" w:eastAsia="楷体" w:cs="Times New Roman"/>
          <w:color w:val="auto"/>
          <w:sz w:val="32"/>
          <w:szCs w:val="32"/>
          <w:shd w:val="clear" w:color="auto" w:fill="FFFFFF"/>
        </w:rPr>
        <w:t>：</w:t>
      </w:r>
      <w:r>
        <w:rPr>
          <w:rFonts w:hint="default" w:ascii="Times New Roman" w:hAnsi="Times New Roman" w:eastAsia="方正仿宋_GBK" w:cs="Times New Roman"/>
          <w:color w:val="auto"/>
          <w:sz w:val="32"/>
          <w:szCs w:val="32"/>
          <w:shd w:val="clear" w:color="auto" w:fill="FFFFFF"/>
        </w:rPr>
        <w:t>指在基本支出之外为完成特定行政任务和事业发展目标所发生的支出。</w:t>
      </w:r>
    </w:p>
    <w:p>
      <w:pPr>
        <w:pStyle w:val="5"/>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sz w:val="32"/>
          <w:szCs w:val="32"/>
        </w:rPr>
      </w:pPr>
      <w:r>
        <w:rPr>
          <w:rStyle w:val="9"/>
          <w:rFonts w:hint="default" w:ascii="Times New Roman" w:hAnsi="Times New Roman" w:eastAsia="方正仿宋_GBK" w:cs="Times New Roman"/>
          <w:color w:val="auto"/>
          <w:sz w:val="32"/>
          <w:szCs w:val="32"/>
          <w:shd w:val="clear" w:color="auto" w:fill="FFFFFF"/>
        </w:rPr>
        <w:t> </w:t>
      </w:r>
      <w:r>
        <w:rPr>
          <w:rStyle w:val="9"/>
          <w:rFonts w:hint="default" w:ascii="Times New Roman" w:hAnsi="Times New Roman" w:eastAsia="楷体" w:cs="Times New Roman"/>
          <w:color w:val="auto"/>
          <w:sz w:val="32"/>
          <w:szCs w:val="32"/>
          <w:shd w:val="clear" w:color="auto" w:fill="FFFFFF"/>
        </w:rPr>
        <w:t>（十一）经营支出</w:t>
      </w:r>
      <w:r>
        <w:rPr>
          <w:rFonts w:hint="default" w:ascii="Times New Roman" w:hAnsi="Times New Roman" w:eastAsia="楷体" w:cs="Times New Roman"/>
          <w:color w:val="auto"/>
          <w:sz w:val="32"/>
          <w:szCs w:val="32"/>
          <w:shd w:val="clear" w:color="auto" w:fill="FFFFFF"/>
        </w:rPr>
        <w:t>：</w:t>
      </w:r>
      <w:r>
        <w:rPr>
          <w:rFonts w:hint="default" w:ascii="Times New Roman" w:hAnsi="Times New Roman" w:eastAsia="方正仿宋_GBK" w:cs="Times New Roman"/>
          <w:color w:val="auto"/>
          <w:sz w:val="32"/>
          <w:szCs w:val="32"/>
          <w:shd w:val="clear" w:color="auto" w:fill="FFFFFF"/>
        </w:rPr>
        <w:t>指事业单位在专业业务活动及其辅助活动之外开展非独立核算经营活动发生的支出。</w:t>
      </w:r>
    </w:p>
    <w:p>
      <w:pPr>
        <w:pStyle w:val="5"/>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sz w:val="32"/>
          <w:szCs w:val="32"/>
        </w:rPr>
      </w:pPr>
      <w:r>
        <w:rPr>
          <w:rStyle w:val="9"/>
          <w:rFonts w:hint="default" w:ascii="Times New Roman" w:hAnsi="Times New Roman" w:eastAsia="方正仿宋_GBK" w:cs="Times New Roman"/>
          <w:color w:val="auto"/>
          <w:sz w:val="32"/>
          <w:szCs w:val="32"/>
          <w:shd w:val="clear" w:color="auto" w:fill="FFFFFF"/>
        </w:rPr>
        <w:t> </w:t>
      </w:r>
      <w:r>
        <w:rPr>
          <w:rStyle w:val="9"/>
          <w:rFonts w:hint="default" w:ascii="Times New Roman" w:hAnsi="Times New Roman" w:eastAsia="楷体" w:cs="Times New Roman"/>
          <w:color w:val="auto"/>
          <w:sz w:val="32"/>
          <w:szCs w:val="32"/>
          <w:shd w:val="clear" w:color="auto" w:fill="FFFFFF"/>
        </w:rPr>
        <w:t>（十二）“三公”经费</w:t>
      </w:r>
      <w:r>
        <w:rPr>
          <w:rFonts w:hint="default" w:ascii="Times New Roman" w:hAnsi="Times New Roman" w:eastAsia="楷体" w:cs="Times New Roman"/>
          <w:color w:val="auto"/>
          <w:sz w:val="32"/>
          <w:szCs w:val="32"/>
          <w:shd w:val="clear" w:color="auto" w:fill="FFFFFF"/>
        </w:rPr>
        <w:t>：</w:t>
      </w:r>
      <w:r>
        <w:rPr>
          <w:rFonts w:hint="default" w:ascii="Times New Roman" w:hAnsi="Times New Roman" w:eastAsia="方正仿宋_GBK" w:cs="Times New Roman"/>
          <w:color w:val="auto"/>
          <w:sz w:val="32"/>
          <w:szCs w:val="32"/>
          <w:shd w:val="clear" w:color="auto" w:fill="FFFFFF"/>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pStyle w:val="5"/>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sz w:val="32"/>
          <w:szCs w:val="32"/>
        </w:rPr>
      </w:pPr>
      <w:r>
        <w:rPr>
          <w:rStyle w:val="9"/>
          <w:rFonts w:hint="default" w:ascii="Times New Roman" w:hAnsi="Times New Roman" w:eastAsia="方正仿宋_GBK" w:cs="Times New Roman"/>
          <w:color w:val="auto"/>
          <w:sz w:val="32"/>
          <w:szCs w:val="32"/>
          <w:shd w:val="clear" w:color="auto" w:fill="FFFFFF"/>
        </w:rPr>
        <w:t> </w:t>
      </w:r>
      <w:r>
        <w:rPr>
          <w:rStyle w:val="9"/>
          <w:rFonts w:hint="default" w:ascii="Times New Roman" w:hAnsi="Times New Roman" w:eastAsia="楷体" w:cs="Times New Roman"/>
          <w:color w:val="auto"/>
          <w:sz w:val="32"/>
          <w:szCs w:val="32"/>
          <w:shd w:val="clear" w:color="auto" w:fill="FFFFFF"/>
        </w:rPr>
        <w:t>（十三）机关运行经费</w:t>
      </w:r>
      <w:r>
        <w:rPr>
          <w:rFonts w:hint="default" w:ascii="Times New Roman" w:hAnsi="Times New Roman" w:eastAsia="楷体" w:cs="Times New Roman"/>
          <w:color w:val="auto"/>
          <w:sz w:val="32"/>
          <w:szCs w:val="32"/>
          <w:shd w:val="clear" w:color="auto" w:fill="FFFFFF"/>
        </w:rPr>
        <w:t>：</w:t>
      </w:r>
      <w:r>
        <w:rPr>
          <w:rFonts w:hint="default" w:ascii="Times New Roman" w:hAnsi="Times New Roman" w:eastAsia="方正仿宋_GBK" w:cs="Times New Roman"/>
          <w:color w:val="auto"/>
          <w:sz w:val="32"/>
          <w:szCs w:val="32"/>
          <w:shd w:val="clear" w:color="auto"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pPr>
        <w:pStyle w:val="5"/>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sz w:val="32"/>
          <w:szCs w:val="32"/>
        </w:rPr>
      </w:pPr>
      <w:r>
        <w:rPr>
          <w:rStyle w:val="9"/>
          <w:rFonts w:hint="default" w:ascii="Times New Roman" w:hAnsi="Times New Roman" w:eastAsia="方正仿宋_GBK" w:cs="Times New Roman"/>
          <w:color w:val="auto"/>
          <w:sz w:val="32"/>
          <w:szCs w:val="32"/>
          <w:shd w:val="clear" w:color="auto" w:fill="FFFFFF"/>
        </w:rPr>
        <w:t> </w:t>
      </w:r>
      <w:r>
        <w:rPr>
          <w:rStyle w:val="9"/>
          <w:rFonts w:hint="default" w:ascii="Times New Roman" w:hAnsi="Times New Roman" w:eastAsia="楷体" w:cs="Times New Roman"/>
          <w:color w:val="auto"/>
          <w:sz w:val="32"/>
          <w:szCs w:val="32"/>
          <w:shd w:val="clear" w:color="auto" w:fill="FFFFFF"/>
        </w:rPr>
        <w:t>（十四）工资福利支出（支出经济分类科目类级）</w:t>
      </w:r>
      <w:r>
        <w:rPr>
          <w:rFonts w:hint="default" w:ascii="Times New Roman" w:hAnsi="Times New Roman" w:eastAsia="楷体" w:cs="Times New Roman"/>
          <w:color w:val="auto"/>
          <w:sz w:val="32"/>
          <w:szCs w:val="32"/>
          <w:shd w:val="clear" w:color="auto" w:fill="FFFFFF"/>
        </w:rPr>
        <w:t>：</w:t>
      </w:r>
      <w:r>
        <w:rPr>
          <w:rFonts w:hint="default" w:ascii="Times New Roman" w:hAnsi="Times New Roman" w:eastAsia="方正仿宋_GBK" w:cs="Times New Roman"/>
          <w:color w:val="auto"/>
          <w:sz w:val="32"/>
          <w:szCs w:val="32"/>
          <w:shd w:val="clear" w:color="auto" w:fill="FFFFFF"/>
        </w:rPr>
        <w:t>反映单位开支的在职职工和编制外长期聘用人员的各类劳动报酬，以及为上述人员缴纳的各项社会保险费等。</w:t>
      </w:r>
    </w:p>
    <w:p>
      <w:pPr>
        <w:pStyle w:val="5"/>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sz w:val="32"/>
          <w:szCs w:val="32"/>
        </w:rPr>
      </w:pPr>
      <w:r>
        <w:rPr>
          <w:rStyle w:val="9"/>
          <w:rFonts w:hint="default" w:ascii="Times New Roman" w:hAnsi="Times New Roman" w:eastAsia="方正仿宋_GBK" w:cs="Times New Roman"/>
          <w:color w:val="auto"/>
          <w:sz w:val="32"/>
          <w:szCs w:val="32"/>
          <w:shd w:val="clear" w:color="auto" w:fill="FFFFFF"/>
        </w:rPr>
        <w:t> </w:t>
      </w:r>
      <w:r>
        <w:rPr>
          <w:rStyle w:val="9"/>
          <w:rFonts w:hint="default" w:ascii="Times New Roman" w:hAnsi="Times New Roman" w:eastAsia="楷体" w:cs="Times New Roman"/>
          <w:color w:val="auto"/>
          <w:sz w:val="32"/>
          <w:szCs w:val="32"/>
          <w:shd w:val="clear" w:color="auto" w:fill="FFFFFF"/>
        </w:rPr>
        <w:t>（十五）商品和服务支出（支出经济分类科目类级）</w:t>
      </w:r>
      <w:r>
        <w:rPr>
          <w:rFonts w:hint="default" w:ascii="Times New Roman" w:hAnsi="Times New Roman" w:eastAsia="楷体" w:cs="Times New Roman"/>
          <w:color w:val="auto"/>
          <w:sz w:val="32"/>
          <w:szCs w:val="32"/>
          <w:shd w:val="clear" w:color="auto" w:fill="FFFFFF"/>
        </w:rPr>
        <w:t>：</w:t>
      </w:r>
      <w:r>
        <w:rPr>
          <w:rFonts w:hint="default" w:ascii="Times New Roman" w:hAnsi="Times New Roman" w:eastAsia="方正仿宋_GBK" w:cs="Times New Roman"/>
          <w:color w:val="auto"/>
          <w:sz w:val="32"/>
          <w:szCs w:val="32"/>
          <w:shd w:val="clear" w:color="auto" w:fill="FFFFFF"/>
        </w:rPr>
        <w:t>反映单位购买商品和服务的支出（不包括用于购置固定资产的支出、战略性和应急储备支出）。</w:t>
      </w:r>
    </w:p>
    <w:p>
      <w:pPr>
        <w:pStyle w:val="5"/>
        <w:keepNext w:val="0"/>
        <w:keepLines w:val="0"/>
        <w:pageBreakBefore w:val="0"/>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hint="default" w:ascii="Times New Roman" w:hAnsi="Times New Roman" w:eastAsia="方正仿宋_GBK" w:cs="Times New Roman"/>
          <w:color w:val="auto"/>
          <w:sz w:val="32"/>
          <w:szCs w:val="32"/>
        </w:rPr>
      </w:pPr>
      <w:r>
        <w:rPr>
          <w:rStyle w:val="9"/>
          <w:rFonts w:hint="default" w:ascii="Times New Roman" w:hAnsi="Times New Roman" w:eastAsia="楷体" w:cs="Times New Roman"/>
          <w:color w:val="auto"/>
          <w:sz w:val="32"/>
          <w:szCs w:val="32"/>
          <w:shd w:val="clear" w:color="auto" w:fill="FFFFFF"/>
        </w:rPr>
        <w:t> （十六）对个人和家庭的补助（支出经济分类科目类级）</w:t>
      </w:r>
      <w:r>
        <w:rPr>
          <w:rFonts w:hint="default" w:ascii="Times New Roman" w:hAnsi="Times New Roman" w:eastAsia="楷体" w:cs="Times New Roman"/>
          <w:color w:val="auto"/>
          <w:sz w:val="32"/>
          <w:szCs w:val="32"/>
          <w:shd w:val="clear" w:color="auto" w:fill="FFFFFF"/>
        </w:rPr>
        <w:t>：</w:t>
      </w:r>
      <w:r>
        <w:rPr>
          <w:rFonts w:hint="default" w:ascii="Times New Roman" w:hAnsi="Times New Roman" w:eastAsia="方正仿宋_GBK" w:cs="Times New Roman"/>
          <w:color w:val="auto"/>
          <w:sz w:val="32"/>
          <w:szCs w:val="32"/>
          <w:shd w:val="clear" w:color="auto" w:fill="FFFFFF"/>
        </w:rPr>
        <w:t>反映用于对个人和家庭的补助支出。</w:t>
      </w:r>
    </w:p>
    <w:p>
      <w:pPr>
        <w:pStyle w:val="5"/>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sz w:val="32"/>
          <w:szCs w:val="32"/>
          <w:shd w:val="clear" w:color="auto" w:fill="FFFFFF"/>
        </w:rPr>
      </w:pPr>
      <w:r>
        <w:rPr>
          <w:rStyle w:val="9"/>
          <w:rFonts w:hint="default" w:ascii="Times New Roman" w:hAnsi="Times New Roman" w:eastAsia="方正仿宋_GBK" w:cs="Times New Roman"/>
          <w:color w:val="auto"/>
          <w:sz w:val="32"/>
          <w:szCs w:val="32"/>
          <w:shd w:val="clear" w:color="auto" w:fill="FFFFFF"/>
        </w:rPr>
        <w:t> </w:t>
      </w:r>
      <w:r>
        <w:rPr>
          <w:rStyle w:val="9"/>
          <w:rFonts w:hint="default" w:ascii="Times New Roman" w:hAnsi="Times New Roman" w:eastAsia="楷体" w:cs="Times New Roman"/>
          <w:color w:val="auto"/>
          <w:sz w:val="32"/>
          <w:szCs w:val="32"/>
          <w:shd w:val="clear" w:color="auto" w:fill="FFFFFF"/>
        </w:rPr>
        <w:t>（十七）其他资本性支出（支出经济分类科目类级）</w:t>
      </w:r>
      <w:r>
        <w:rPr>
          <w:rFonts w:hint="default" w:ascii="Times New Roman" w:hAnsi="Times New Roman" w:eastAsia="楷体" w:cs="Times New Roman"/>
          <w:color w:val="auto"/>
          <w:sz w:val="32"/>
          <w:szCs w:val="32"/>
          <w:shd w:val="clear" w:color="auto" w:fill="FFFFFF"/>
        </w:rPr>
        <w:t>：</w:t>
      </w:r>
      <w:r>
        <w:rPr>
          <w:rFonts w:hint="default" w:ascii="Times New Roman" w:hAnsi="Times New Roman" w:eastAsia="方正仿宋_GBK" w:cs="Times New Roman"/>
          <w:color w:val="auto"/>
          <w:sz w:val="32"/>
          <w:szCs w:val="32"/>
          <w:shd w:val="clear" w:color="auto" w:fill="FFFFFF"/>
        </w:rPr>
        <w:t>反映非各级发展与改革部门集中安排的用于购置固定资产、战略性和应急性储备、土地和无形资产，以及构建基础设施、大型修缮和财政支持企业更新改造所发生的支出。</w:t>
      </w:r>
    </w:p>
    <w:p>
      <w:pPr>
        <w:pStyle w:val="5"/>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Style w:val="9"/>
          <w:rFonts w:hint="default" w:ascii="Times New Roman" w:hAnsi="Times New Roman" w:eastAsia="方正黑体_GBK" w:cs="Times New Roman"/>
          <w:color w:val="auto"/>
          <w:sz w:val="32"/>
          <w:szCs w:val="32"/>
          <w:shd w:val="clear" w:color="auto" w:fill="FFFFFF"/>
        </w:rPr>
      </w:pPr>
      <w:r>
        <w:rPr>
          <w:rStyle w:val="9"/>
          <w:rFonts w:hint="default" w:ascii="Times New Roman" w:hAnsi="Times New Roman" w:eastAsia="方正黑体_GBK" w:cs="Times New Roman"/>
          <w:color w:val="auto"/>
          <w:sz w:val="32"/>
          <w:szCs w:val="32"/>
          <w:shd w:val="clear" w:color="auto" w:fill="FFFFFF"/>
        </w:rPr>
        <w:t>七、决算公开联系方式及信息反馈渠道</w:t>
      </w:r>
    </w:p>
    <w:p>
      <w:pPr>
        <w:pStyle w:val="5"/>
        <w:keepNext w:val="0"/>
        <w:keepLines w:val="0"/>
        <w:pageBreakBefore w:val="0"/>
        <w:kinsoku/>
        <w:wordWrap/>
        <w:overflowPunct/>
        <w:topLinePunct w:val="0"/>
        <w:autoSpaceDN/>
        <w:bidi w:val="0"/>
        <w:adjustRightInd/>
        <w:snapToGrid w:val="0"/>
        <w:spacing w:before="0" w:beforeAutospacing="0" w:after="0" w:afterAutospacing="0" w:line="594" w:lineRule="exact"/>
        <w:ind w:left="319" w:leftChars="133" w:firstLine="320" w:firstLineChars="100"/>
        <w:jc w:val="both"/>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shd w:val="clear" w:color="auto" w:fill="FFFFFF"/>
        </w:rPr>
        <w:t>本单位决算公开信息反馈和联系方式：</w:t>
      </w:r>
      <w:r>
        <w:rPr>
          <w:rFonts w:hint="eastAsia" w:ascii="Times New Roman" w:hAnsi="Times New Roman" w:eastAsia="方正仿宋_GBK" w:cs="Times New Roman"/>
          <w:color w:val="auto"/>
          <w:sz w:val="32"/>
          <w:szCs w:val="32"/>
          <w:shd w:val="clear" w:color="auto" w:fill="FFFFFF"/>
          <w:lang w:val="en-US" w:eastAsia="zh-CN"/>
        </w:rPr>
        <w:t xml:space="preserve">王晶   </w:t>
      </w:r>
      <w:r>
        <w:rPr>
          <w:rFonts w:hint="default" w:ascii="Times New Roman" w:hAnsi="Times New Roman" w:eastAsia="方正仿宋_GBK" w:cs="Times New Roman"/>
          <w:color w:val="auto"/>
          <w:sz w:val="32"/>
          <w:szCs w:val="32"/>
          <w:shd w:val="clear" w:color="auto" w:fill="FFFFFF"/>
        </w:rPr>
        <w:t>023-6</w:t>
      </w:r>
      <w:r>
        <w:rPr>
          <w:rFonts w:hint="default" w:ascii="Times New Roman" w:hAnsi="Times New Roman" w:eastAsia="方正仿宋_GBK" w:cs="Times New Roman"/>
          <w:color w:val="auto"/>
          <w:sz w:val="32"/>
          <w:szCs w:val="32"/>
          <w:shd w:val="clear" w:color="auto" w:fill="FFFFFF"/>
          <w:lang w:val="en-US" w:eastAsia="zh-CN"/>
        </w:rPr>
        <w:t>4090396。</w:t>
      </w:r>
    </w:p>
    <w:p>
      <w:pPr>
        <w:pStyle w:val="10"/>
        <w:autoSpaceDE w:val="0"/>
        <w:ind w:firstLine="0" w:firstLineChars="0"/>
        <w:rPr>
          <w:rStyle w:val="9"/>
          <w:rFonts w:ascii="方正仿宋_GBK" w:hAnsi="方正仿宋_GBK" w:eastAsia="方正仿宋_GBK" w:cs="方正仿宋_GBK"/>
          <w:color w:val="auto"/>
          <w:sz w:val="32"/>
          <w:szCs w:val="32"/>
          <w:shd w:val="clear" w:color="auto" w:fill="FFFF00"/>
        </w:rPr>
      </w:pPr>
    </w:p>
    <w:p>
      <w:pPr>
        <w:pStyle w:val="10"/>
        <w:autoSpaceDE w:val="0"/>
        <w:ind w:firstLine="0" w:firstLineChars="0"/>
        <w:rPr>
          <w:rStyle w:val="9"/>
          <w:rFonts w:ascii="方正仿宋_GBK" w:hAnsi="方正仿宋_GBK" w:eastAsia="方正仿宋_GBK" w:cs="方正仿宋_GBK"/>
          <w:sz w:val="32"/>
          <w:szCs w:val="32"/>
          <w:shd w:val="clear" w:color="auto" w:fill="FFFF00"/>
        </w:rPr>
      </w:pPr>
    </w:p>
    <w:p>
      <w:pPr>
        <w:pStyle w:val="10"/>
        <w:autoSpaceDE w:val="0"/>
        <w:ind w:firstLine="0" w:firstLineChars="0"/>
        <w:rPr>
          <w:rStyle w:val="9"/>
          <w:rFonts w:ascii="方正仿宋_GBK" w:hAnsi="方正仿宋_GBK" w:eastAsia="方正仿宋_GBK" w:cs="方正仿宋_GBK"/>
          <w:sz w:val="32"/>
          <w:szCs w:val="32"/>
          <w:shd w:val="clear" w:color="auto" w:fill="FFFF00"/>
        </w:rPr>
        <w:sectPr>
          <w:footerReference r:id="rId3" w:type="default"/>
          <w:pgSz w:w="11915" w:h="16840"/>
          <w:pgMar w:top="1984" w:right="1446" w:bottom="1644" w:left="1446" w:header="851" w:footer="992" w:gutter="0"/>
          <w:pgNumType w:fmt="numberInDash"/>
          <w:cols w:space="720" w:num="1"/>
          <w:docGrid w:type="lines" w:linePitch="312" w:charSpace="0"/>
        </w:sectPr>
      </w:pPr>
    </w:p>
    <w:p>
      <w:pPr>
        <w:rPr>
          <w:rFonts w:hint="default" w:cs="宋体"/>
          <w:sz w:val="21"/>
          <w:szCs w:val="21"/>
        </w:rPr>
      </w:pPr>
    </w:p>
    <w:tbl>
      <w:tblPr>
        <w:tblStyle w:val="6"/>
        <w:tblW w:w="22292" w:type="dxa"/>
        <w:tblInd w:w="0" w:type="dxa"/>
        <w:tblLayout w:type="fixed"/>
        <w:tblCellMar>
          <w:top w:w="0" w:type="dxa"/>
          <w:left w:w="0" w:type="dxa"/>
          <w:bottom w:w="0" w:type="dxa"/>
          <w:right w:w="0" w:type="dxa"/>
        </w:tblCellMar>
      </w:tblPr>
      <w:tblGrid>
        <w:gridCol w:w="6581"/>
        <w:gridCol w:w="4358"/>
        <w:gridCol w:w="7536"/>
        <w:gridCol w:w="3817"/>
      </w:tblGrid>
      <w:tr>
        <w:tblPrEx>
          <w:tblCellMar>
            <w:top w:w="0" w:type="dxa"/>
            <w:left w:w="0" w:type="dxa"/>
            <w:bottom w:w="0" w:type="dxa"/>
            <w:right w:w="0" w:type="dxa"/>
          </w:tblCellMar>
        </w:tblPrEx>
        <w:trPr>
          <w:trHeight w:val="565" w:hRule="atLeast"/>
        </w:trPr>
        <w:tc>
          <w:tcPr>
            <w:tcW w:w="22292" w:type="dxa"/>
            <w:gridSpan w:val="4"/>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40"/>
                <w:szCs w:val="40"/>
              </w:rPr>
            </w:pPr>
            <w:r>
              <w:rPr>
                <w:rFonts w:cs="宋体"/>
                <w:b/>
                <w:color w:val="000000"/>
                <w:sz w:val="44"/>
                <w:szCs w:val="44"/>
                <w:lang w:bidi="ar"/>
              </w:rPr>
              <w:t>收入支出决算总表</w:t>
            </w:r>
          </w:p>
        </w:tc>
      </w:tr>
      <w:tr>
        <w:tblPrEx>
          <w:tblCellMar>
            <w:top w:w="0" w:type="dxa"/>
            <w:left w:w="0" w:type="dxa"/>
            <w:bottom w:w="0" w:type="dxa"/>
            <w:right w:w="0" w:type="dxa"/>
          </w:tblCellMar>
        </w:tblPrEx>
        <w:trPr>
          <w:trHeight w:val="289" w:hRule="atLeast"/>
        </w:trPr>
        <w:tc>
          <w:tcPr>
            <w:tcW w:w="6581"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4358" w:type="dxa"/>
            <w:tcBorders>
              <w:top w:val="nil"/>
              <w:left w:val="nil"/>
              <w:bottom w:val="nil"/>
              <w:right w:val="nil"/>
            </w:tcBorders>
            <w:shd w:val="clear" w:color="auto" w:fill="auto"/>
            <w:noWrap/>
            <w:tcMar>
              <w:top w:w="15" w:type="dxa"/>
              <w:left w:w="15" w:type="dxa"/>
              <w:right w:w="15" w:type="dxa"/>
            </w:tcMar>
            <w:vAlign w:val="bottom"/>
          </w:tcPr>
          <w:p>
            <w:pPr>
              <w:jc w:val="right"/>
              <w:rPr>
                <w:rFonts w:hint="default" w:ascii="Arial" w:hAnsi="Arial" w:cs="Arial"/>
                <w:color w:val="000000"/>
                <w:sz w:val="20"/>
                <w:szCs w:val="20"/>
              </w:rPr>
            </w:pPr>
          </w:p>
        </w:tc>
        <w:tc>
          <w:tcPr>
            <w:tcW w:w="7536"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3817"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rPr>
            </w:pPr>
            <w:r>
              <w:rPr>
                <w:rFonts w:cs="宋体"/>
                <w:color w:val="000000"/>
                <w:lang w:bidi="ar"/>
              </w:rPr>
              <w:t>公开01表</w:t>
            </w:r>
          </w:p>
        </w:tc>
      </w:tr>
      <w:tr>
        <w:tblPrEx>
          <w:tblCellMar>
            <w:top w:w="0" w:type="dxa"/>
            <w:left w:w="0" w:type="dxa"/>
            <w:bottom w:w="0" w:type="dxa"/>
            <w:right w:w="0" w:type="dxa"/>
          </w:tblCellMar>
        </w:tblPrEx>
        <w:trPr>
          <w:trHeight w:val="289" w:hRule="atLeast"/>
        </w:trPr>
        <w:tc>
          <w:tcPr>
            <w:tcW w:w="6581" w:type="dxa"/>
            <w:tcBorders>
              <w:top w:val="nil"/>
              <w:left w:val="nil"/>
              <w:bottom w:val="nil"/>
              <w:right w:val="nil"/>
            </w:tcBorders>
            <w:shd w:val="clear" w:color="auto" w:fill="auto"/>
            <w:noWrap/>
            <w:tcMar>
              <w:top w:w="15" w:type="dxa"/>
              <w:left w:w="15" w:type="dxa"/>
              <w:right w:w="15" w:type="dxa"/>
            </w:tcMar>
            <w:vAlign w:val="bottom"/>
          </w:tcPr>
          <w:p>
            <w:pPr>
              <w:textAlignment w:val="bottom"/>
              <w:rPr>
                <w:rFonts w:hint="default" w:cs="宋体"/>
                <w:color w:val="000000"/>
              </w:rPr>
            </w:pPr>
            <w:r>
              <w:rPr>
                <w:rFonts w:cs="宋体"/>
              </w:rPr>
              <w:t>公开单位：重庆市长寿区城市管理综合行政执法支队</w:t>
            </w:r>
          </w:p>
        </w:tc>
        <w:tc>
          <w:tcPr>
            <w:tcW w:w="4358" w:type="dxa"/>
            <w:tcBorders>
              <w:top w:val="nil"/>
              <w:left w:val="nil"/>
              <w:bottom w:val="nil"/>
              <w:right w:val="nil"/>
            </w:tcBorders>
            <w:shd w:val="clear" w:color="auto" w:fill="auto"/>
            <w:noWrap/>
            <w:tcMar>
              <w:top w:w="15" w:type="dxa"/>
              <w:left w:w="15" w:type="dxa"/>
              <w:right w:w="15" w:type="dxa"/>
            </w:tcMar>
            <w:vAlign w:val="bottom"/>
          </w:tcPr>
          <w:p>
            <w:pPr>
              <w:jc w:val="right"/>
              <w:rPr>
                <w:rFonts w:hint="default" w:ascii="Arial" w:hAnsi="Arial" w:cs="Arial"/>
                <w:color w:val="000000"/>
                <w:sz w:val="22"/>
                <w:szCs w:val="22"/>
              </w:rPr>
            </w:pPr>
          </w:p>
        </w:tc>
        <w:tc>
          <w:tcPr>
            <w:tcW w:w="7536"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3817"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rPr>
            </w:pPr>
            <w:r>
              <w:rPr>
                <w:rFonts w:cs="宋体"/>
                <w:color w:val="000000"/>
                <w:lang w:bidi="ar"/>
              </w:rPr>
              <w:t>单位：</w:t>
            </w:r>
            <w:r>
              <w:rPr>
                <w:rFonts w:cs="宋体"/>
              </w:rPr>
              <w:t>万元</w:t>
            </w:r>
          </w:p>
        </w:tc>
      </w:tr>
      <w:tr>
        <w:tblPrEx>
          <w:tblCellMar>
            <w:top w:w="0" w:type="dxa"/>
            <w:left w:w="0" w:type="dxa"/>
            <w:bottom w:w="0" w:type="dxa"/>
            <w:right w:w="0" w:type="dxa"/>
          </w:tblCellMar>
        </w:tblPrEx>
        <w:trPr>
          <w:trHeight w:val="298" w:hRule="atLeast"/>
        </w:trPr>
        <w:tc>
          <w:tcPr>
            <w:tcW w:w="10939"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收入</w:t>
            </w:r>
          </w:p>
        </w:tc>
        <w:tc>
          <w:tcPr>
            <w:tcW w:w="11353" w:type="dxa"/>
            <w:gridSpan w:val="2"/>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支出</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项目</w:t>
            </w:r>
          </w:p>
        </w:tc>
        <w:tc>
          <w:tcPr>
            <w:tcW w:w="4358"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决算数</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rPr>
              <w:t>功能分类科目</w:t>
            </w:r>
          </w:p>
        </w:tc>
        <w:tc>
          <w:tcPr>
            <w:tcW w:w="3817"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决算数</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一、一般公共预算财政拨款收入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2,899.11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一、一般公共服务支出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二、政府性基金预算财政拨款收入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115.68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二、外交支出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三、国有资本经营预算财政拨款收入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三、国防支出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四、上级补助收入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四、公共安全支出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五、事业收入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五、教育支出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5.64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六、经营收入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六、科学技术支出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七、附属单位上缴收入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七、文化旅游体育与传媒支出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八、其他收入</w:t>
            </w:r>
          </w:p>
        </w:tc>
        <w:tc>
          <w:tcPr>
            <w:tcW w:w="4358" w:type="dxa"/>
            <w:tcBorders>
              <w:top w:val="nil"/>
              <w:left w:val="nil"/>
              <w:bottom w:val="nil"/>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八、社会保障和就业支出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174.49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right"/>
              <w:rPr>
                <w:rFonts w:hint="default" w:ascii="Arial" w:hAnsi="Arial" w:cs="Arial"/>
                <w:color w:val="000000"/>
                <w:sz w:val="20"/>
                <w:szCs w:val="20"/>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九、卫生健康支出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80.66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right"/>
              <w:rPr>
                <w:rFonts w:hint="default" w:ascii="Arial" w:hAnsi="Arial" w:cs="Arial"/>
                <w:color w:val="000000"/>
                <w:sz w:val="20"/>
                <w:szCs w:val="20"/>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十、节能环保支出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right"/>
              <w:rPr>
                <w:rFonts w:hint="default" w:ascii="Arial" w:hAnsi="Arial" w:cs="Arial"/>
                <w:color w:val="000000"/>
                <w:sz w:val="20"/>
                <w:szCs w:val="20"/>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十一、城乡社区支出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2,674.80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right"/>
              <w:rPr>
                <w:rFonts w:hint="default" w:ascii="Arial" w:hAnsi="Arial" w:cs="Arial"/>
                <w:color w:val="000000"/>
                <w:sz w:val="20"/>
                <w:szCs w:val="20"/>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十二、农林水支出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十三、交通运输支出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十四、资源勘探工业信息等支出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十五、商业服务业等支出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十六、金融支出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十七、援助其他地区支出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十八、自然资源海洋气象等支出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十九、住房保障支出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79.19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二十、粮油物资储备支出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二十一、国有资本经营预算支出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二十二、灾害防治及应急管理支出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二十三、其他支出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二十四、债务还本支出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二十五、债务付息支出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二十六、抗疫特别国债安排的支出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本年收入合计</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3,014.79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本年支出合计</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3,014.79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使用非财政拨款结余和专用结余</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结余分配</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年初结转和结余</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年末结转和结余</w:t>
            </w:r>
          </w:p>
        </w:tc>
        <w:tc>
          <w:tcPr>
            <w:tcW w:w="3817" w:type="dxa"/>
            <w:tcBorders>
              <w:top w:val="nil"/>
              <w:left w:val="nil"/>
              <w:bottom w:val="single" w:color="auto"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7"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总计</w:t>
            </w: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3,014.79 </w:t>
            </w:r>
          </w:p>
        </w:tc>
        <w:tc>
          <w:tcPr>
            <w:tcW w:w="7536" w:type="dxa"/>
            <w:tcBorders>
              <w:top w:val="nil"/>
              <w:left w:val="nil"/>
              <w:bottom w:val="single" w:color="000000" w:sz="4" w:space="0"/>
              <w:right w:val="single" w:color="auto"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总计</w:t>
            </w:r>
          </w:p>
        </w:tc>
        <w:tc>
          <w:tcPr>
            <w:tcW w:w="381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1"/>
                <w:szCs w:val="21"/>
                <w:lang w:bidi="ar"/>
              </w:rPr>
              <w:t xml:space="preserve">3,014.79 </w:t>
            </w:r>
          </w:p>
        </w:tc>
      </w:tr>
    </w:tbl>
    <w:p>
      <w:pPr>
        <w:rPr>
          <w:rFonts w:hint="default" w:cs="宋体"/>
          <w:sz w:val="21"/>
          <w:szCs w:val="21"/>
          <w:lang w:bidi="ar"/>
        </w:rPr>
      </w:pPr>
      <w:r>
        <w:rPr>
          <w:rFonts w:cs="宋体"/>
          <w:sz w:val="21"/>
          <w:szCs w:val="21"/>
          <w:lang w:bidi="ar"/>
        </w:rPr>
        <w:t>备注：1.本表反映单位本年度的总收支和年末结转结余情况。</w:t>
      </w:r>
      <w:r>
        <w:rPr>
          <w:rFonts w:cs="宋体"/>
          <w:sz w:val="21"/>
          <w:szCs w:val="21"/>
          <w:lang w:bidi="ar"/>
        </w:rPr>
        <w:br w:type="textWrapping"/>
      </w:r>
      <w:r>
        <w:rPr>
          <w:rFonts w:cs="宋体"/>
          <w:sz w:val="21"/>
          <w:szCs w:val="21"/>
          <w:lang w:bidi="ar"/>
        </w:rPr>
        <w:t xml:space="preserve">      2.本套报表金额单位转换时可能存在尾数误差。</w:t>
      </w:r>
      <w:r>
        <w:rPr>
          <w:rFonts w:cs="宋体"/>
          <w:sz w:val="21"/>
          <w:szCs w:val="21"/>
          <w:lang w:bidi="ar"/>
        </w:rPr>
        <w:br w:type="textWrapping"/>
      </w:r>
      <w:r>
        <w:rPr>
          <w:rFonts w:cs="宋体"/>
          <w:sz w:val="21"/>
          <w:szCs w:val="21"/>
        </w:rPr>
        <w:br w:type="textWrapping"/>
      </w:r>
    </w:p>
    <w:p>
      <w:pPr>
        <w:rPr>
          <w:rFonts w:hint="default" w:cs="宋体"/>
          <w:sz w:val="21"/>
          <w:szCs w:val="21"/>
          <w:lang w:bidi="ar"/>
        </w:rPr>
      </w:pPr>
      <w:r>
        <w:rPr>
          <w:rFonts w:cs="宋体"/>
          <w:sz w:val="21"/>
          <w:szCs w:val="21"/>
          <w:lang w:bidi="ar"/>
        </w:rPr>
        <w:br w:type="page"/>
      </w:r>
    </w:p>
    <w:p>
      <w:pPr>
        <w:rPr>
          <w:rFonts w:hint="default" w:cs="宋体"/>
          <w:sz w:val="21"/>
          <w:szCs w:val="21"/>
          <w:lang w:bidi="ar"/>
        </w:rPr>
      </w:pPr>
    </w:p>
    <w:tbl>
      <w:tblPr>
        <w:tblStyle w:val="6"/>
        <w:tblW w:w="22220" w:type="dxa"/>
        <w:tblInd w:w="0" w:type="dxa"/>
        <w:tblLayout w:type="fixed"/>
        <w:tblCellMar>
          <w:top w:w="0" w:type="dxa"/>
          <w:left w:w="0" w:type="dxa"/>
          <w:bottom w:w="0" w:type="dxa"/>
          <w:right w:w="0" w:type="dxa"/>
        </w:tblCellMar>
      </w:tblPr>
      <w:tblGrid>
        <w:gridCol w:w="1941"/>
        <w:gridCol w:w="3317"/>
        <w:gridCol w:w="2412"/>
        <w:gridCol w:w="2399"/>
        <w:gridCol w:w="1963"/>
        <w:gridCol w:w="1963"/>
        <w:gridCol w:w="1963"/>
        <w:gridCol w:w="1963"/>
        <w:gridCol w:w="1963"/>
        <w:gridCol w:w="2336"/>
      </w:tblGrid>
      <w:tr>
        <w:tblPrEx>
          <w:tblCellMar>
            <w:top w:w="0" w:type="dxa"/>
            <w:left w:w="0" w:type="dxa"/>
            <w:bottom w:w="0" w:type="dxa"/>
            <w:right w:w="0" w:type="dxa"/>
          </w:tblCellMar>
        </w:tblPrEx>
        <w:trPr>
          <w:trHeight w:val="641" w:hRule="atLeast"/>
        </w:trPr>
        <w:tc>
          <w:tcPr>
            <w:tcW w:w="22220" w:type="dxa"/>
            <w:gridSpan w:val="10"/>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40"/>
                <w:szCs w:val="40"/>
              </w:rPr>
            </w:pPr>
            <w:r>
              <w:rPr>
                <w:rFonts w:cs="宋体"/>
                <w:b/>
                <w:color w:val="000000"/>
                <w:sz w:val="44"/>
                <w:szCs w:val="44"/>
                <w:lang w:bidi="ar"/>
              </w:rPr>
              <w:t>收入决算表</w:t>
            </w:r>
          </w:p>
        </w:tc>
      </w:tr>
      <w:tr>
        <w:tblPrEx>
          <w:tblCellMar>
            <w:top w:w="0" w:type="dxa"/>
            <w:left w:w="0" w:type="dxa"/>
            <w:bottom w:w="0" w:type="dxa"/>
            <w:right w:w="0" w:type="dxa"/>
          </w:tblCellMar>
        </w:tblPrEx>
        <w:trPr>
          <w:trHeight w:val="328" w:hRule="atLeast"/>
        </w:trPr>
        <w:tc>
          <w:tcPr>
            <w:tcW w:w="5258" w:type="dxa"/>
            <w:gridSpan w:val="2"/>
            <w:vMerge w:val="restart"/>
            <w:tcBorders>
              <w:top w:val="nil"/>
              <w:left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r>
              <w:rPr>
                <w:rFonts w:cs="宋体"/>
              </w:rPr>
              <w:t>公开单位：重庆市长寿区城市管理综合行政执法支队</w:t>
            </w:r>
          </w:p>
        </w:tc>
        <w:tc>
          <w:tcPr>
            <w:tcW w:w="2412"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2399"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2336"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rPr>
            </w:pPr>
            <w:r>
              <w:rPr>
                <w:rFonts w:cs="宋体"/>
                <w:color w:val="000000"/>
                <w:lang w:bidi="ar"/>
              </w:rPr>
              <w:t>公开02表</w:t>
            </w:r>
          </w:p>
        </w:tc>
      </w:tr>
      <w:tr>
        <w:tblPrEx>
          <w:tblCellMar>
            <w:top w:w="0" w:type="dxa"/>
            <w:left w:w="0" w:type="dxa"/>
            <w:bottom w:w="0" w:type="dxa"/>
            <w:right w:w="0" w:type="dxa"/>
          </w:tblCellMar>
        </w:tblPrEx>
        <w:trPr>
          <w:trHeight w:val="328" w:hRule="atLeast"/>
        </w:trPr>
        <w:tc>
          <w:tcPr>
            <w:tcW w:w="5258" w:type="dxa"/>
            <w:gridSpan w:val="2"/>
            <w:vMerge w:val="continue"/>
            <w:tcBorders>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2412"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2399"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2336"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rPr>
            </w:pPr>
            <w:r>
              <w:rPr>
                <w:rFonts w:cs="宋体"/>
                <w:color w:val="000000"/>
                <w:lang w:bidi="ar"/>
              </w:rPr>
              <w:t>单位：</w:t>
            </w:r>
            <w:r>
              <w:rPr>
                <w:rFonts w:cs="宋体"/>
              </w:rPr>
              <w:t>万元</w:t>
            </w:r>
          </w:p>
        </w:tc>
      </w:tr>
      <w:tr>
        <w:tblPrEx>
          <w:tblCellMar>
            <w:top w:w="0" w:type="dxa"/>
            <w:left w:w="0" w:type="dxa"/>
            <w:bottom w:w="0" w:type="dxa"/>
            <w:right w:w="0" w:type="dxa"/>
          </w:tblCellMar>
        </w:tblPrEx>
        <w:trPr>
          <w:trHeight w:val="431" w:hRule="atLeast"/>
        </w:trPr>
        <w:tc>
          <w:tcPr>
            <w:tcW w:w="5258" w:type="dxa"/>
            <w:gridSpan w:val="2"/>
            <w:tcBorders>
              <w:top w:val="single" w:color="000000" w:sz="4" w:space="0"/>
              <w:left w:val="single" w:color="000000" w:sz="4" w:space="0"/>
              <w:bottom w:val="single" w:color="000000" w:sz="4" w:space="0"/>
              <w:right w:val="nil"/>
            </w:tcBorders>
            <w:shd w:val="clear" w:color="auto" w:fill="D0CECE"/>
            <w:noWrap/>
            <w:tcMar>
              <w:top w:w="15" w:type="dxa"/>
              <w:left w:w="15" w:type="dxa"/>
              <w:right w:w="15" w:type="dxa"/>
            </w:tcMar>
            <w:vAlign w:val="bottom"/>
          </w:tcPr>
          <w:p>
            <w:pPr>
              <w:jc w:val="center"/>
              <w:textAlignment w:val="bottom"/>
              <w:rPr>
                <w:rFonts w:hint="default" w:cs="宋体"/>
                <w:b/>
                <w:color w:val="000000"/>
                <w:sz w:val="22"/>
                <w:szCs w:val="22"/>
              </w:rPr>
            </w:pPr>
            <w:r>
              <w:rPr>
                <w:rFonts w:cs="宋体"/>
                <w:b/>
                <w:color w:val="000000"/>
                <w:sz w:val="22"/>
                <w:szCs w:val="22"/>
                <w:lang w:bidi="ar"/>
              </w:rPr>
              <w:t>项目</w:t>
            </w:r>
          </w:p>
        </w:tc>
        <w:tc>
          <w:tcPr>
            <w:tcW w:w="2412"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本年收入合计</w:t>
            </w:r>
          </w:p>
        </w:tc>
        <w:tc>
          <w:tcPr>
            <w:tcW w:w="2399"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财政拨款收入</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上级补助收入</w:t>
            </w:r>
          </w:p>
        </w:tc>
        <w:tc>
          <w:tcPr>
            <w:tcW w:w="3926"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2"/>
                <w:szCs w:val="22"/>
              </w:rPr>
            </w:pPr>
            <w:r>
              <w:rPr>
                <w:rFonts w:cs="宋体"/>
                <w:b/>
                <w:color w:val="000000"/>
                <w:sz w:val="22"/>
                <w:szCs w:val="22"/>
                <w:lang w:bidi="ar"/>
              </w:rPr>
              <w:t>事业收入</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经营收入</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附属单位上缴收入</w:t>
            </w:r>
          </w:p>
        </w:tc>
        <w:tc>
          <w:tcPr>
            <w:tcW w:w="2336"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其他收入</w:t>
            </w:r>
          </w:p>
        </w:tc>
      </w:tr>
      <w:tr>
        <w:tblPrEx>
          <w:tblCellMar>
            <w:top w:w="0" w:type="dxa"/>
            <w:left w:w="0" w:type="dxa"/>
            <w:bottom w:w="0" w:type="dxa"/>
            <w:right w:w="0" w:type="dxa"/>
          </w:tblCellMar>
        </w:tblPrEx>
        <w:trPr>
          <w:trHeight w:val="334" w:hRule="atLeast"/>
        </w:trPr>
        <w:tc>
          <w:tcPr>
            <w:tcW w:w="1941" w:type="dxa"/>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功能分类科目编码</w:t>
            </w:r>
          </w:p>
        </w:tc>
        <w:tc>
          <w:tcPr>
            <w:tcW w:w="3317" w:type="dxa"/>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项目（按“项”级功能分类科目）</w:t>
            </w: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小计</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其中：教育收费</w:t>
            </w: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r>
      <w:tr>
        <w:tblPrEx>
          <w:tblCellMar>
            <w:top w:w="0" w:type="dxa"/>
            <w:left w:w="0" w:type="dxa"/>
            <w:bottom w:w="0" w:type="dxa"/>
            <w:right w:w="0" w:type="dxa"/>
          </w:tblCellMar>
        </w:tblPrEx>
        <w:trPr>
          <w:trHeight w:val="334" w:hRule="atLeast"/>
        </w:trPr>
        <w:tc>
          <w:tcPr>
            <w:tcW w:w="1941"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2"/>
                <w:szCs w:val="22"/>
              </w:rPr>
            </w:pPr>
          </w:p>
        </w:tc>
        <w:tc>
          <w:tcPr>
            <w:tcW w:w="3317"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2"/>
                <w:szCs w:val="22"/>
              </w:rPr>
            </w:pP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r>
      <w:tr>
        <w:tblPrEx>
          <w:tblCellMar>
            <w:top w:w="0" w:type="dxa"/>
            <w:left w:w="0" w:type="dxa"/>
            <w:bottom w:w="0" w:type="dxa"/>
            <w:right w:w="0" w:type="dxa"/>
          </w:tblCellMar>
        </w:tblPrEx>
        <w:trPr>
          <w:trHeight w:val="334" w:hRule="atLeast"/>
        </w:trPr>
        <w:tc>
          <w:tcPr>
            <w:tcW w:w="1941"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2"/>
                <w:szCs w:val="22"/>
              </w:rPr>
            </w:pPr>
          </w:p>
        </w:tc>
        <w:tc>
          <w:tcPr>
            <w:tcW w:w="3317"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2"/>
                <w:szCs w:val="22"/>
              </w:rPr>
            </w:pP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r>
      <w:tr>
        <w:tblPrEx>
          <w:tblCellMar>
            <w:top w:w="0" w:type="dxa"/>
            <w:left w:w="0" w:type="dxa"/>
            <w:bottom w:w="0" w:type="dxa"/>
            <w:right w:w="0" w:type="dxa"/>
          </w:tblCellMar>
        </w:tblPrEx>
        <w:trPr>
          <w:trHeight w:val="334" w:hRule="atLeast"/>
        </w:trPr>
        <w:tc>
          <w:tcPr>
            <w:tcW w:w="1941"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2"/>
                <w:szCs w:val="22"/>
              </w:rPr>
            </w:pPr>
          </w:p>
        </w:tc>
        <w:tc>
          <w:tcPr>
            <w:tcW w:w="3317"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2"/>
                <w:szCs w:val="22"/>
              </w:rPr>
            </w:pP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r>
      <w:tr>
        <w:tblPrEx>
          <w:tblCellMar>
            <w:top w:w="0" w:type="dxa"/>
            <w:left w:w="0" w:type="dxa"/>
            <w:bottom w:w="0" w:type="dxa"/>
            <w:right w:w="0" w:type="dxa"/>
          </w:tblCellMar>
        </w:tblPrEx>
        <w:trPr>
          <w:trHeight w:val="338" w:hRule="atLeast"/>
        </w:trPr>
        <w:tc>
          <w:tcPr>
            <w:tcW w:w="5258"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合计</w:t>
            </w:r>
          </w:p>
        </w:tc>
        <w:tc>
          <w:tcPr>
            <w:tcW w:w="241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3,014.79 </w:t>
            </w:r>
          </w:p>
        </w:tc>
        <w:tc>
          <w:tcPr>
            <w:tcW w:w="23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3,014.79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 </w:t>
            </w:r>
          </w:p>
        </w:tc>
        <w:tc>
          <w:tcPr>
            <w:tcW w:w="2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 </w:t>
            </w:r>
          </w:p>
        </w:tc>
      </w:tr>
      <w:tr>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205</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教育支出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5.64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5.64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20508</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进修及培训</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5.64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5.64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2050803</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培训支出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5.64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5.64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208</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社会保障和就业支出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174.49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174.49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20805</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行政事业单位养老支出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169.94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169.94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2080505</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机关事业单位基本养老保险缴费支出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107.64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107.64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2080506</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机关事业单位职业年金缴费支出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54.32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54.32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2080599</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其他行政事业单位养老支出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7.98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7.98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20808</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抚恤</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4.55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4.55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2080801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死亡抚恤</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4.55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4.55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210</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卫生健康支出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80.66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80.66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21011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行政事业单位医疗</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80.66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80.66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2101101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行政单位医疗</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70.62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70.62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2101103</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公务员医疗补助</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10.04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10.04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212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城乡社区支出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2,674.80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2,674.80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21201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城乡社区管理事务</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2,559.12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2,559.12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2120101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行政运行</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1,101.51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1,101.51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2120104</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城管执法</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1,321.64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1,321.64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2120199</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其他城乡社区管理事务支出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135.97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135.97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21213</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城市基础设施配套费安排的支出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115.68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115.68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2121399</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其他城市基础设施配套费安排的支出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115.68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115.68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221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住房保障支出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79.19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79.19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22102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住房改革支出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79.19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79.19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2210201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住房公积金</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79.19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79.19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bl>
    <w:p>
      <w:pPr>
        <w:ind w:left="630" w:hanging="630" w:hangingChars="300"/>
        <w:rPr>
          <w:rFonts w:hint="default" w:cs="宋体"/>
          <w:sz w:val="21"/>
          <w:szCs w:val="21"/>
          <w:lang w:bidi="ar"/>
        </w:rPr>
      </w:pPr>
      <w:r>
        <w:rPr>
          <w:rFonts w:cs="宋体"/>
          <w:sz w:val="21"/>
          <w:szCs w:val="21"/>
          <w:lang w:bidi="ar"/>
        </w:rPr>
        <w:t>备注：1.本表反映单位本年度取得的各项收入情况。</w:t>
      </w:r>
      <w:r>
        <w:rPr>
          <w:rFonts w:cs="宋体"/>
          <w:sz w:val="21"/>
          <w:szCs w:val="21"/>
          <w:lang w:bidi="ar"/>
        </w:rPr>
        <w:br w:type="textWrapping"/>
      </w:r>
      <w:r>
        <w:rPr>
          <w:rFonts w:cs="宋体"/>
          <w:sz w:val="21"/>
          <w:szCs w:val="21"/>
          <w:lang w:bidi="ar"/>
        </w:rPr>
        <w:t>2.本套报表金额单位转换时可能存在尾数误差。</w:t>
      </w:r>
      <w:r>
        <w:rPr>
          <w:rFonts w:cs="宋体"/>
          <w:sz w:val="21"/>
          <w:szCs w:val="21"/>
          <w:lang w:bidi="ar"/>
        </w:rPr>
        <w:br w:type="textWrapping"/>
      </w:r>
      <w:r>
        <w:rPr>
          <w:rFonts w:cs="宋体"/>
          <w:sz w:val="21"/>
          <w:szCs w:val="21"/>
          <w:lang w:bidi="ar"/>
        </w:rPr>
        <w:br w:type="textWrapping"/>
      </w:r>
    </w:p>
    <w:p>
      <w:pPr>
        <w:rPr>
          <w:rFonts w:hint="default" w:cs="宋体"/>
          <w:sz w:val="21"/>
          <w:szCs w:val="21"/>
          <w:lang w:bidi="ar"/>
        </w:rPr>
      </w:pPr>
      <w:r>
        <w:rPr>
          <w:rFonts w:cs="宋体"/>
          <w:sz w:val="21"/>
          <w:szCs w:val="21"/>
          <w:lang w:bidi="ar"/>
        </w:rPr>
        <w:br w:type="page"/>
      </w:r>
    </w:p>
    <w:p>
      <w:pPr>
        <w:ind w:left="630" w:hanging="630" w:hangingChars="300"/>
        <w:rPr>
          <w:rFonts w:hint="default" w:cs="宋体"/>
          <w:sz w:val="21"/>
          <w:szCs w:val="21"/>
          <w:lang w:bidi="ar"/>
        </w:rPr>
      </w:pPr>
    </w:p>
    <w:tbl>
      <w:tblPr>
        <w:tblStyle w:val="6"/>
        <w:tblW w:w="22180" w:type="dxa"/>
        <w:tblInd w:w="0" w:type="dxa"/>
        <w:tblLayout w:type="fixed"/>
        <w:tblCellMar>
          <w:top w:w="0" w:type="dxa"/>
          <w:left w:w="0" w:type="dxa"/>
          <w:bottom w:w="0" w:type="dxa"/>
          <w:right w:w="0" w:type="dxa"/>
        </w:tblCellMar>
      </w:tblPr>
      <w:tblGrid>
        <w:gridCol w:w="2082"/>
        <w:gridCol w:w="3528"/>
        <w:gridCol w:w="2760"/>
        <w:gridCol w:w="2760"/>
        <w:gridCol w:w="2760"/>
        <w:gridCol w:w="2760"/>
        <w:gridCol w:w="2760"/>
        <w:gridCol w:w="2770"/>
      </w:tblGrid>
      <w:tr>
        <w:tblPrEx>
          <w:tblCellMar>
            <w:top w:w="0" w:type="dxa"/>
            <w:left w:w="0" w:type="dxa"/>
            <w:bottom w:w="0" w:type="dxa"/>
            <w:right w:w="0" w:type="dxa"/>
          </w:tblCellMar>
        </w:tblPrEx>
        <w:trPr>
          <w:trHeight w:val="654" w:hRule="atLeast"/>
        </w:trPr>
        <w:tc>
          <w:tcPr>
            <w:tcW w:w="22180" w:type="dxa"/>
            <w:gridSpan w:val="8"/>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40"/>
                <w:szCs w:val="40"/>
              </w:rPr>
            </w:pPr>
            <w:r>
              <w:rPr>
                <w:rFonts w:cs="宋体"/>
                <w:b/>
                <w:color w:val="000000"/>
                <w:sz w:val="44"/>
                <w:szCs w:val="44"/>
                <w:lang w:bidi="ar"/>
              </w:rPr>
              <w:t>支出决算表</w:t>
            </w:r>
          </w:p>
        </w:tc>
      </w:tr>
      <w:tr>
        <w:tblPrEx>
          <w:tblCellMar>
            <w:top w:w="0" w:type="dxa"/>
            <w:left w:w="0" w:type="dxa"/>
            <w:bottom w:w="0" w:type="dxa"/>
            <w:right w:w="0" w:type="dxa"/>
          </w:tblCellMar>
        </w:tblPrEx>
        <w:trPr>
          <w:trHeight w:val="342" w:hRule="atLeast"/>
        </w:trPr>
        <w:tc>
          <w:tcPr>
            <w:tcW w:w="5610" w:type="dxa"/>
            <w:gridSpan w:val="2"/>
            <w:vMerge w:val="restart"/>
            <w:tcBorders>
              <w:top w:val="nil"/>
              <w:left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r>
              <w:rPr>
                <w:rFonts w:asciiTheme="minorEastAsia" w:hAnsiTheme="minorEastAsia" w:eastAsiaTheme="minorEastAsia" w:cstheme="minorEastAsia"/>
              </w:rPr>
              <w:t>公开单位</w:t>
            </w:r>
            <w:r>
              <w:rPr>
                <w:rFonts w:asciiTheme="minorEastAsia" w:hAnsiTheme="minorEastAsia" w:eastAsiaTheme="minorEastAsia" w:cstheme="minorEastAsia"/>
                <w:color w:val="000000"/>
                <w:lang w:bidi="ar"/>
              </w:rPr>
              <w:t xml:space="preserve">： </w:t>
            </w:r>
            <w:r>
              <w:rPr>
                <w:color w:val="000000"/>
                <w:u w:color="auto"/>
              </w:rPr>
              <w:t xml:space="preserve">重庆市长寿区城市管理综合行政执法支队 </w:t>
            </w:r>
          </w:p>
        </w:tc>
        <w:tc>
          <w:tcPr>
            <w:tcW w:w="276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276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276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276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276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2770"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rPr>
            </w:pPr>
            <w:r>
              <w:rPr>
                <w:rFonts w:cs="宋体"/>
                <w:color w:val="000000"/>
                <w:lang w:bidi="ar"/>
              </w:rPr>
              <w:t>公开03表</w:t>
            </w:r>
          </w:p>
        </w:tc>
      </w:tr>
      <w:tr>
        <w:tblPrEx>
          <w:tblCellMar>
            <w:top w:w="0" w:type="dxa"/>
            <w:left w:w="0" w:type="dxa"/>
            <w:bottom w:w="0" w:type="dxa"/>
            <w:right w:w="0" w:type="dxa"/>
          </w:tblCellMar>
        </w:tblPrEx>
        <w:trPr>
          <w:trHeight w:val="342" w:hRule="atLeast"/>
        </w:trPr>
        <w:tc>
          <w:tcPr>
            <w:tcW w:w="5610" w:type="dxa"/>
            <w:gridSpan w:val="2"/>
            <w:vMerge w:val="continue"/>
            <w:tcBorders>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2770"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rPr>
            </w:pPr>
            <w:r>
              <w:rPr>
                <w:rFonts w:cs="宋体"/>
                <w:color w:val="000000"/>
                <w:lang w:bidi="ar"/>
              </w:rPr>
              <w:t>单位：</w:t>
            </w:r>
            <w:r>
              <w:rPr>
                <w:rFonts w:cs="宋体"/>
              </w:rPr>
              <w:t>万元</w:t>
            </w:r>
          </w:p>
        </w:tc>
      </w:tr>
      <w:tr>
        <w:tblPrEx>
          <w:tblCellMar>
            <w:top w:w="0" w:type="dxa"/>
            <w:left w:w="0" w:type="dxa"/>
            <w:bottom w:w="0" w:type="dxa"/>
            <w:right w:w="0" w:type="dxa"/>
          </w:tblCellMar>
        </w:tblPrEx>
        <w:trPr>
          <w:trHeight w:val="362" w:hRule="atLeast"/>
        </w:trPr>
        <w:tc>
          <w:tcPr>
            <w:tcW w:w="5610"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2"/>
                <w:szCs w:val="22"/>
              </w:rPr>
            </w:pPr>
            <w:r>
              <w:rPr>
                <w:rFonts w:cs="宋体"/>
                <w:b/>
                <w:color w:val="000000"/>
                <w:sz w:val="22"/>
                <w:szCs w:val="22"/>
                <w:lang w:bidi="ar"/>
              </w:rPr>
              <w:t>项目</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本年支出合计</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基本支出</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项目支出</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上缴上级支出</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经营支出</w:t>
            </w:r>
          </w:p>
        </w:tc>
        <w:tc>
          <w:tcPr>
            <w:tcW w:w="277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对附属单位补助支出</w:t>
            </w:r>
          </w:p>
        </w:tc>
      </w:tr>
      <w:tr>
        <w:tblPrEx>
          <w:tblCellMar>
            <w:top w:w="0" w:type="dxa"/>
            <w:left w:w="0" w:type="dxa"/>
            <w:bottom w:w="0" w:type="dxa"/>
            <w:right w:w="0" w:type="dxa"/>
          </w:tblCellMar>
        </w:tblPrEx>
        <w:trPr>
          <w:trHeight w:val="338" w:hRule="atLeast"/>
        </w:trPr>
        <w:tc>
          <w:tcPr>
            <w:tcW w:w="2082" w:type="dxa"/>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功能分类科目编码</w:t>
            </w:r>
          </w:p>
        </w:tc>
        <w:tc>
          <w:tcPr>
            <w:tcW w:w="3528" w:type="dxa"/>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项目（按“项”级功能分类科目）</w:t>
            </w: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r>
      <w:tr>
        <w:tblPrEx>
          <w:tblCellMar>
            <w:top w:w="0" w:type="dxa"/>
            <w:left w:w="0" w:type="dxa"/>
            <w:bottom w:w="0" w:type="dxa"/>
            <w:right w:w="0" w:type="dxa"/>
          </w:tblCellMar>
        </w:tblPrEx>
        <w:trPr>
          <w:trHeight w:val="338" w:hRule="atLeast"/>
        </w:trPr>
        <w:tc>
          <w:tcPr>
            <w:tcW w:w="208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2"/>
                <w:szCs w:val="22"/>
              </w:rPr>
            </w:pPr>
          </w:p>
        </w:tc>
        <w:tc>
          <w:tcPr>
            <w:tcW w:w="3528"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r>
      <w:tr>
        <w:tblPrEx>
          <w:tblCellMar>
            <w:top w:w="0" w:type="dxa"/>
            <w:left w:w="0" w:type="dxa"/>
            <w:bottom w:w="0" w:type="dxa"/>
            <w:right w:w="0" w:type="dxa"/>
          </w:tblCellMar>
        </w:tblPrEx>
        <w:trPr>
          <w:trHeight w:val="338" w:hRule="atLeast"/>
        </w:trPr>
        <w:tc>
          <w:tcPr>
            <w:tcW w:w="208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2"/>
                <w:szCs w:val="22"/>
              </w:rPr>
            </w:pPr>
          </w:p>
        </w:tc>
        <w:tc>
          <w:tcPr>
            <w:tcW w:w="3528"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r>
      <w:tr>
        <w:tblPrEx>
          <w:tblCellMar>
            <w:top w:w="0" w:type="dxa"/>
            <w:left w:w="0" w:type="dxa"/>
            <w:bottom w:w="0" w:type="dxa"/>
            <w:right w:w="0" w:type="dxa"/>
          </w:tblCellMar>
        </w:tblPrEx>
        <w:trPr>
          <w:trHeight w:val="338" w:hRule="atLeast"/>
        </w:trPr>
        <w:tc>
          <w:tcPr>
            <w:tcW w:w="208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2"/>
                <w:szCs w:val="22"/>
              </w:rPr>
            </w:pPr>
          </w:p>
        </w:tc>
        <w:tc>
          <w:tcPr>
            <w:tcW w:w="3528"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r>
      <w:tr>
        <w:tblPrEx>
          <w:tblCellMar>
            <w:top w:w="0" w:type="dxa"/>
            <w:left w:w="0" w:type="dxa"/>
            <w:bottom w:w="0" w:type="dxa"/>
            <w:right w:w="0" w:type="dxa"/>
          </w:tblCellMar>
        </w:tblPrEx>
        <w:trPr>
          <w:trHeight w:val="362" w:hRule="atLeast"/>
        </w:trPr>
        <w:tc>
          <w:tcPr>
            <w:tcW w:w="5610"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合计</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3,014.79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1,436.94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1,577.85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 </w:t>
            </w:r>
          </w:p>
        </w:tc>
        <w:tc>
          <w:tcPr>
            <w:tcW w:w="27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 </w:t>
            </w:r>
          </w:p>
        </w:tc>
      </w:tr>
      <w:tr>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205</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教育支出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5.64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5.64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20508</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进修及培训</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5.64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5.64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2050803</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培训支出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5.64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5.64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208</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社会保障和就业支出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174.49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169.94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4.55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20805</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行政事业单位养老支出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169.94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169.94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2080505</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机关事业单位基本养老保险缴费支出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107.64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107.64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2080506</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机关事业单位职业年金缴费支出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54.32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54.32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2080599</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其他行政事业单位养老支出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7.98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7.98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20808</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抚恤</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4.55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4.55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2080801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死亡抚恤</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4.55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4.55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210</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卫生健康支出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80.66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80.66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21011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行政事业单位医疗</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80.66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80.66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2101101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行政单位医疗</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70.62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70.62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2101103</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公务员医疗补助</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10.04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10.04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212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城乡社区支出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2,674.80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1,101.51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1,573.29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21201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城乡社区管理事务</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2,559.12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1,101.51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1,457.61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2120101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行政运行</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1,101.51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1,101.51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2120104</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城管执法</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1,321.64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1,321.64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2120199</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其他城乡社区管理事务支出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135.97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135.97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21213</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城市基础设施配套费安排的支出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115.68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115.68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2121399</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其他城市基础设施配套费安排的支出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115.68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115.68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221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住房保障支出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79.19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79.19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22102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住房改革支出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79.19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79.19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2210201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住房公积金</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79.19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79.19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bl>
    <w:p>
      <w:pPr>
        <w:rPr>
          <w:rFonts w:hint="default" w:cs="宋体"/>
          <w:sz w:val="21"/>
          <w:szCs w:val="21"/>
        </w:rPr>
      </w:pPr>
      <w:r>
        <w:rPr>
          <w:rFonts w:cs="宋体"/>
          <w:sz w:val="21"/>
          <w:szCs w:val="21"/>
          <w:lang w:bidi="ar"/>
        </w:rPr>
        <w:t>备注：1.本表反映单位本年度各项支出情况。</w:t>
      </w:r>
      <w:r>
        <w:rPr>
          <w:rFonts w:cs="宋体"/>
          <w:sz w:val="21"/>
          <w:szCs w:val="21"/>
          <w:lang w:bidi="ar"/>
        </w:rPr>
        <w:br w:type="textWrapping"/>
      </w:r>
      <w:r>
        <w:rPr>
          <w:rFonts w:cs="宋体"/>
          <w:sz w:val="21"/>
          <w:szCs w:val="21"/>
          <w:lang w:bidi="ar"/>
        </w:rPr>
        <w:t xml:space="preserve">      2.本套报表金额单位转换时可能存在尾数误差。</w:t>
      </w:r>
      <w:r>
        <w:rPr>
          <w:rFonts w:cs="宋体"/>
          <w:sz w:val="21"/>
          <w:szCs w:val="21"/>
          <w:lang w:bidi="ar"/>
        </w:rPr>
        <w:br w:type="textWrapping"/>
      </w:r>
      <w:r>
        <w:rPr>
          <w:rFonts w:cs="宋体"/>
          <w:sz w:val="21"/>
          <w:szCs w:val="21"/>
        </w:rPr>
        <w:br w:type="textWrapping"/>
      </w:r>
    </w:p>
    <w:p>
      <w:pPr>
        <w:rPr>
          <w:rFonts w:hint="default" w:cs="宋体"/>
          <w:sz w:val="21"/>
          <w:szCs w:val="21"/>
          <w:lang w:bidi="ar"/>
        </w:rPr>
      </w:pPr>
      <w:r>
        <w:rPr>
          <w:rFonts w:cs="宋体"/>
          <w:sz w:val="21"/>
          <w:szCs w:val="21"/>
          <w:lang w:bidi="ar"/>
        </w:rPr>
        <w:br w:type="page"/>
      </w:r>
    </w:p>
    <w:p>
      <w:pPr>
        <w:rPr>
          <w:rFonts w:hint="default" w:cs="宋体"/>
          <w:sz w:val="21"/>
          <w:szCs w:val="21"/>
          <w:lang w:bidi="ar"/>
        </w:rPr>
      </w:pPr>
    </w:p>
    <w:tbl>
      <w:tblPr>
        <w:tblStyle w:val="6"/>
        <w:tblW w:w="22360" w:type="dxa"/>
        <w:tblInd w:w="0" w:type="dxa"/>
        <w:tblLayout w:type="fixed"/>
        <w:tblCellMar>
          <w:top w:w="0" w:type="dxa"/>
          <w:left w:w="0" w:type="dxa"/>
          <w:bottom w:w="0" w:type="dxa"/>
          <w:right w:w="0" w:type="dxa"/>
        </w:tblCellMar>
      </w:tblPr>
      <w:tblGrid>
        <w:gridCol w:w="4068"/>
        <w:gridCol w:w="2674"/>
        <w:gridCol w:w="3752"/>
        <w:gridCol w:w="2952"/>
        <w:gridCol w:w="2952"/>
        <w:gridCol w:w="2952"/>
        <w:gridCol w:w="3010"/>
      </w:tblGrid>
      <w:tr>
        <w:tblPrEx>
          <w:tblCellMar>
            <w:top w:w="0" w:type="dxa"/>
            <w:left w:w="0" w:type="dxa"/>
            <w:bottom w:w="0" w:type="dxa"/>
            <w:right w:w="0" w:type="dxa"/>
          </w:tblCellMar>
        </w:tblPrEx>
        <w:trPr>
          <w:trHeight w:val="90" w:hRule="atLeast"/>
        </w:trPr>
        <w:tc>
          <w:tcPr>
            <w:tcW w:w="22360" w:type="dxa"/>
            <w:gridSpan w:val="7"/>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40"/>
                <w:szCs w:val="40"/>
              </w:rPr>
            </w:pPr>
            <w:r>
              <w:rPr>
                <w:rFonts w:cs="宋体"/>
                <w:b/>
                <w:color w:val="000000"/>
                <w:sz w:val="44"/>
                <w:szCs w:val="44"/>
                <w:lang w:bidi="ar"/>
              </w:rPr>
              <w:t>财政拨款收入支出决算总表</w:t>
            </w:r>
          </w:p>
        </w:tc>
      </w:tr>
      <w:tr>
        <w:tblPrEx>
          <w:tblCellMar>
            <w:top w:w="0" w:type="dxa"/>
            <w:left w:w="0" w:type="dxa"/>
            <w:bottom w:w="0" w:type="dxa"/>
            <w:right w:w="0" w:type="dxa"/>
          </w:tblCellMar>
        </w:tblPrEx>
        <w:trPr>
          <w:trHeight w:val="90" w:hRule="atLeast"/>
        </w:trPr>
        <w:tc>
          <w:tcPr>
            <w:tcW w:w="6742" w:type="dxa"/>
            <w:gridSpan w:val="2"/>
            <w:vMerge w:val="restart"/>
            <w:tcBorders>
              <w:top w:val="nil"/>
              <w:left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r>
              <w:rPr>
                <w:rFonts w:asciiTheme="minorEastAsia" w:hAnsiTheme="minorEastAsia" w:eastAsiaTheme="minorEastAsia" w:cstheme="minorEastAsia"/>
              </w:rPr>
              <w:t>公开单位</w:t>
            </w:r>
            <w:r>
              <w:rPr>
                <w:rFonts w:asciiTheme="minorEastAsia" w:hAnsiTheme="minorEastAsia" w:eastAsiaTheme="minorEastAsia" w:cstheme="minorEastAsia"/>
                <w:color w:val="000000"/>
                <w:lang w:bidi="ar"/>
              </w:rPr>
              <w:t xml:space="preserve">： </w:t>
            </w:r>
            <w:r>
              <w:rPr>
                <w:color w:val="000000"/>
                <w:u w:color="auto"/>
              </w:rPr>
              <w:t>重庆市长寿区城市管理综合行政执法支队</w:t>
            </w:r>
          </w:p>
        </w:tc>
        <w:tc>
          <w:tcPr>
            <w:tcW w:w="3752"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2952"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2952"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2952"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3010"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rPr>
            </w:pPr>
            <w:r>
              <w:rPr>
                <w:rFonts w:cs="宋体"/>
                <w:color w:val="000000"/>
                <w:lang w:bidi="ar"/>
              </w:rPr>
              <w:t>公开04表</w:t>
            </w:r>
          </w:p>
        </w:tc>
      </w:tr>
      <w:tr>
        <w:tblPrEx>
          <w:tblCellMar>
            <w:top w:w="0" w:type="dxa"/>
            <w:left w:w="0" w:type="dxa"/>
            <w:bottom w:w="0" w:type="dxa"/>
            <w:right w:w="0" w:type="dxa"/>
          </w:tblCellMar>
        </w:tblPrEx>
        <w:trPr>
          <w:trHeight w:val="90" w:hRule="atLeast"/>
        </w:trPr>
        <w:tc>
          <w:tcPr>
            <w:tcW w:w="6742" w:type="dxa"/>
            <w:gridSpan w:val="2"/>
            <w:vMerge w:val="continue"/>
            <w:tcBorders>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3752"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2952"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2952"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2952"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3010"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rPr>
            </w:pPr>
            <w:r>
              <w:rPr>
                <w:rFonts w:cs="宋体"/>
                <w:color w:val="000000"/>
                <w:lang w:bidi="ar"/>
              </w:rPr>
              <w:t>单位：</w:t>
            </w:r>
            <w:r>
              <w:rPr>
                <w:rFonts w:cs="宋体"/>
              </w:rPr>
              <w:t>万元</w:t>
            </w:r>
          </w:p>
        </w:tc>
      </w:tr>
      <w:tr>
        <w:tblPrEx>
          <w:tblCellMar>
            <w:top w:w="0" w:type="dxa"/>
            <w:left w:w="0" w:type="dxa"/>
            <w:bottom w:w="0" w:type="dxa"/>
            <w:right w:w="0" w:type="dxa"/>
          </w:tblCellMar>
        </w:tblPrEx>
        <w:trPr>
          <w:trHeight w:val="90" w:hRule="atLeast"/>
        </w:trPr>
        <w:tc>
          <w:tcPr>
            <w:tcW w:w="6742"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收     入</w:t>
            </w:r>
          </w:p>
        </w:tc>
        <w:tc>
          <w:tcPr>
            <w:tcW w:w="15618" w:type="dxa"/>
            <w:gridSpan w:val="5"/>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支     出</w:t>
            </w:r>
          </w:p>
        </w:tc>
      </w:tr>
      <w:tr>
        <w:tblPrEx>
          <w:tblCellMar>
            <w:top w:w="0" w:type="dxa"/>
            <w:left w:w="0" w:type="dxa"/>
            <w:bottom w:w="0" w:type="dxa"/>
            <w:right w:w="0" w:type="dxa"/>
          </w:tblCellMar>
        </w:tblPrEx>
        <w:trPr>
          <w:trHeight w:val="90" w:hRule="atLeast"/>
        </w:trPr>
        <w:tc>
          <w:tcPr>
            <w:tcW w:w="4068"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项目</w:t>
            </w:r>
          </w:p>
        </w:tc>
        <w:tc>
          <w:tcPr>
            <w:tcW w:w="2674"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决算数</w:t>
            </w:r>
          </w:p>
        </w:tc>
        <w:tc>
          <w:tcPr>
            <w:tcW w:w="3752"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功能分类科目</w:t>
            </w:r>
          </w:p>
        </w:tc>
        <w:tc>
          <w:tcPr>
            <w:tcW w:w="11866" w:type="dxa"/>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决算数</w:t>
            </w:r>
          </w:p>
        </w:tc>
      </w:tr>
      <w:tr>
        <w:tblPrEx>
          <w:tblCellMar>
            <w:top w:w="0" w:type="dxa"/>
            <w:left w:w="0" w:type="dxa"/>
            <w:bottom w:w="0" w:type="dxa"/>
            <w:right w:w="0" w:type="dxa"/>
          </w:tblCellMar>
        </w:tblPrEx>
        <w:trPr>
          <w:trHeight w:val="90" w:hRule="atLeast"/>
        </w:trPr>
        <w:tc>
          <w:tcPr>
            <w:tcW w:w="4068"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674"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375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9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小计</w:t>
            </w:r>
          </w:p>
        </w:tc>
        <w:tc>
          <w:tcPr>
            <w:tcW w:w="2952"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一般公共预算财政拨款</w:t>
            </w:r>
          </w:p>
        </w:tc>
        <w:tc>
          <w:tcPr>
            <w:tcW w:w="2952"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政府性基金预算财政拨款</w:t>
            </w:r>
          </w:p>
        </w:tc>
        <w:tc>
          <w:tcPr>
            <w:tcW w:w="301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国有资本经营预算财政拨款</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一、一般公共预算财政拨款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2,899.11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一、一般公共服务支出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二、政府性基金预算财政拨款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115.68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二、外交支出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三、国有资本经营预算财政拨款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三、国防支出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四、公共安全支出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五、教育支出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5.64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5.64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六、科学技术支出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七、文化旅游体育与传媒支出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八、社会保障和就业支出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174.49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174.49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九、卫生健康支出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80.66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80.66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十、节能环保支出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十一、城乡社区支出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2,674.80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2,559.12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115.68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十二、农林水支出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十三、交通运输支出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十四、资源勘探工业信息等支出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十五、商业服务业等支出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十六、金融支出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十七、援助其他地区支出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十八、自然资源海洋气象等支出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十九、住房保障支出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79.19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79.19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二十、粮油物资储备支出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二十一、国有资本经营预算支出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二十二、灾害防治及应急管理支出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二十三、其他支出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rPr>
                <w:rFonts w:hint="default" w:ascii="Arial" w:hAnsi="Arial" w:cs="Arial"/>
                <w:color w:val="000000"/>
                <w:sz w:val="20"/>
                <w:szCs w:val="20"/>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Arial" w:hAnsi="Arial" w:cs="Arial"/>
                <w:color w:val="000000"/>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二十四、债务还本支出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rPr>
                <w:rFonts w:hint="default" w:ascii="Arial" w:hAnsi="Arial" w:cs="Arial"/>
                <w:color w:val="000000"/>
                <w:sz w:val="20"/>
                <w:szCs w:val="20"/>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Arial" w:hAnsi="Arial" w:cs="Arial"/>
                <w:color w:val="000000"/>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二十五、债务付息支出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rPr>
                <w:rFonts w:hint="default" w:ascii="Arial" w:hAnsi="Arial" w:cs="Arial"/>
                <w:color w:val="000000"/>
                <w:sz w:val="20"/>
                <w:szCs w:val="20"/>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Arial" w:hAnsi="Arial" w:cs="Arial"/>
                <w:color w:val="000000"/>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二十六、抗疫特别国债安排的支出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本年收入合计</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3,014.79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本年支出合计</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3,014.79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2,899.11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115.68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年初财政拨款结转和结余</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年末财政拨款结转和结余</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一般公共预算财政拨款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rPr>
                <w:rFonts w:hint="default" w:ascii="Arial" w:hAnsi="Arial" w:cs="Arial"/>
                <w:color w:val="000000"/>
                <w:sz w:val="20"/>
                <w:szCs w:val="20"/>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政府性基金预算财政拨款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2"/>
                <w:szCs w:val="22"/>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0"/>
                <w:szCs w:val="20"/>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0"/>
                <w:szCs w:val="20"/>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0"/>
                <w:szCs w:val="20"/>
              </w:rPr>
            </w:pP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国有资本经营预算财政拨款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2"/>
                <w:szCs w:val="22"/>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0"/>
                <w:szCs w:val="20"/>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0"/>
                <w:szCs w:val="20"/>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0"/>
                <w:szCs w:val="20"/>
              </w:rPr>
            </w:pP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总计</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3,014.79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总计</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1"/>
                <w:szCs w:val="21"/>
                <w:lang w:bidi="ar"/>
              </w:rPr>
              <w:t xml:space="preserve">3,014.79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1"/>
                <w:szCs w:val="21"/>
                <w:lang w:bidi="ar"/>
              </w:rPr>
              <w:t xml:space="preserve">2,899.11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1"/>
                <w:szCs w:val="21"/>
                <w:lang w:bidi="ar"/>
              </w:rPr>
              <w:t xml:space="preserve">115.68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bl>
    <w:p>
      <w:pPr>
        <w:rPr>
          <w:rFonts w:hint="default" w:cs="宋体"/>
          <w:sz w:val="21"/>
          <w:szCs w:val="21"/>
        </w:rPr>
      </w:pPr>
      <w:r>
        <w:rPr>
          <w:rFonts w:cs="宋体"/>
          <w:sz w:val="21"/>
          <w:szCs w:val="21"/>
          <w:lang w:bidi="ar"/>
        </w:rPr>
        <w:t>备注：1.本表反映单位本年度一般公共预算财政拨款、政府性基金预算财政拨款及国有资本经营预算财政拨款的总收支和年末结转结余情况。</w:t>
      </w:r>
      <w:r>
        <w:rPr>
          <w:rFonts w:cs="宋体"/>
          <w:sz w:val="21"/>
          <w:szCs w:val="21"/>
          <w:lang w:bidi="ar"/>
        </w:rPr>
        <w:br w:type="textWrapping"/>
      </w:r>
      <w:r>
        <w:rPr>
          <w:rFonts w:cs="宋体"/>
          <w:sz w:val="21"/>
          <w:szCs w:val="21"/>
          <w:lang w:bidi="ar"/>
        </w:rPr>
        <w:t xml:space="preserve">      2.本套报表金额单位转换时可能存在尾数误差。</w:t>
      </w:r>
      <w:r>
        <w:rPr>
          <w:rFonts w:cs="宋体"/>
          <w:sz w:val="21"/>
          <w:szCs w:val="21"/>
          <w:lang w:bidi="ar"/>
        </w:rPr>
        <w:br w:type="textWrapping"/>
      </w:r>
      <w:r>
        <w:rPr>
          <w:rFonts w:cs="宋体"/>
          <w:sz w:val="21"/>
          <w:szCs w:val="21"/>
        </w:rPr>
        <w:br w:type="textWrapping"/>
      </w:r>
    </w:p>
    <w:p>
      <w:pPr>
        <w:rPr>
          <w:rFonts w:hint="default" w:cs="宋体"/>
          <w:sz w:val="21"/>
          <w:szCs w:val="21"/>
        </w:rPr>
      </w:pPr>
      <w:r>
        <w:rPr>
          <w:rFonts w:cs="宋体"/>
          <w:sz w:val="21"/>
          <w:szCs w:val="21"/>
        </w:rPr>
        <w:br w:type="page"/>
      </w:r>
    </w:p>
    <w:tbl>
      <w:tblPr>
        <w:tblStyle w:val="6"/>
        <w:tblW w:w="22300" w:type="dxa"/>
        <w:tblInd w:w="0" w:type="dxa"/>
        <w:tblLayout w:type="fixed"/>
        <w:tblCellMar>
          <w:top w:w="0" w:type="dxa"/>
          <w:left w:w="0" w:type="dxa"/>
          <w:bottom w:w="0" w:type="dxa"/>
          <w:right w:w="0" w:type="dxa"/>
        </w:tblCellMar>
      </w:tblPr>
      <w:tblGrid>
        <w:gridCol w:w="2694"/>
        <w:gridCol w:w="5151"/>
        <w:gridCol w:w="4817"/>
        <w:gridCol w:w="4817"/>
        <w:gridCol w:w="4821"/>
      </w:tblGrid>
      <w:tr>
        <w:tblPrEx>
          <w:tblCellMar>
            <w:top w:w="0" w:type="dxa"/>
            <w:left w:w="0" w:type="dxa"/>
            <w:bottom w:w="0" w:type="dxa"/>
            <w:right w:w="0" w:type="dxa"/>
          </w:tblCellMar>
        </w:tblPrEx>
        <w:trPr>
          <w:trHeight w:val="510" w:hRule="atLeast"/>
        </w:trPr>
        <w:tc>
          <w:tcPr>
            <w:tcW w:w="22300" w:type="dxa"/>
            <w:gridSpan w:val="5"/>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40"/>
                <w:szCs w:val="40"/>
              </w:rPr>
            </w:pPr>
            <w:r>
              <w:rPr>
                <w:rFonts w:cs="宋体"/>
                <w:b/>
                <w:color w:val="000000"/>
                <w:sz w:val="44"/>
                <w:szCs w:val="44"/>
                <w:lang w:bidi="ar"/>
              </w:rPr>
              <w:t>一般公共预算财政拨款支出决算表</w:t>
            </w:r>
          </w:p>
        </w:tc>
      </w:tr>
      <w:tr>
        <w:tblPrEx>
          <w:tblCellMar>
            <w:top w:w="0" w:type="dxa"/>
            <w:left w:w="0" w:type="dxa"/>
            <w:bottom w:w="0" w:type="dxa"/>
            <w:right w:w="0" w:type="dxa"/>
          </w:tblCellMar>
        </w:tblPrEx>
        <w:trPr>
          <w:trHeight w:val="255" w:hRule="atLeast"/>
        </w:trPr>
        <w:tc>
          <w:tcPr>
            <w:tcW w:w="7845" w:type="dxa"/>
            <w:gridSpan w:val="2"/>
            <w:vMerge w:val="restart"/>
            <w:tcBorders>
              <w:top w:val="nil"/>
              <w:left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r>
              <w:rPr>
                <w:rFonts w:asciiTheme="minorEastAsia" w:hAnsiTheme="minorEastAsia" w:eastAsiaTheme="minorEastAsia" w:cstheme="minorEastAsia"/>
              </w:rPr>
              <w:t>公开单位</w:t>
            </w:r>
            <w:r>
              <w:rPr>
                <w:rFonts w:asciiTheme="minorEastAsia" w:hAnsiTheme="minorEastAsia" w:eastAsiaTheme="minorEastAsia" w:cstheme="minorEastAsia"/>
                <w:color w:val="000000"/>
                <w:lang w:bidi="ar"/>
              </w:rPr>
              <w:t xml:space="preserve">： </w:t>
            </w:r>
            <w:r>
              <w:rPr>
                <w:color w:val="000000"/>
                <w:u w:color="auto"/>
              </w:rPr>
              <w:t>重庆市长寿区城市管理综合行政执法支队</w:t>
            </w:r>
          </w:p>
        </w:tc>
        <w:tc>
          <w:tcPr>
            <w:tcW w:w="4817"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4817"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4821"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rPr>
            </w:pPr>
            <w:r>
              <w:rPr>
                <w:rFonts w:cs="宋体"/>
                <w:color w:val="000000"/>
                <w:lang w:bidi="ar"/>
              </w:rPr>
              <w:t>公开05表</w:t>
            </w:r>
          </w:p>
        </w:tc>
      </w:tr>
      <w:tr>
        <w:tblPrEx>
          <w:tblCellMar>
            <w:top w:w="0" w:type="dxa"/>
            <w:left w:w="0" w:type="dxa"/>
            <w:bottom w:w="0" w:type="dxa"/>
            <w:right w:w="0" w:type="dxa"/>
          </w:tblCellMar>
        </w:tblPrEx>
        <w:trPr>
          <w:trHeight w:val="285" w:hRule="atLeast"/>
        </w:trPr>
        <w:tc>
          <w:tcPr>
            <w:tcW w:w="7845" w:type="dxa"/>
            <w:gridSpan w:val="2"/>
            <w:vMerge w:val="continue"/>
            <w:tcBorders>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4817"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4817"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4821"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rPr>
            </w:pPr>
            <w:r>
              <w:rPr>
                <w:rFonts w:cs="宋体"/>
                <w:color w:val="000000"/>
                <w:lang w:bidi="ar"/>
              </w:rPr>
              <w:t>单位：</w:t>
            </w:r>
            <w:r>
              <w:rPr>
                <w:rFonts w:cs="宋体"/>
              </w:rPr>
              <w:t>万元</w:t>
            </w:r>
          </w:p>
        </w:tc>
      </w:tr>
      <w:tr>
        <w:tblPrEx>
          <w:tblCellMar>
            <w:top w:w="0" w:type="dxa"/>
            <w:left w:w="0" w:type="dxa"/>
            <w:bottom w:w="0" w:type="dxa"/>
            <w:right w:w="0" w:type="dxa"/>
          </w:tblCellMar>
        </w:tblPrEx>
        <w:trPr>
          <w:trHeight w:val="308" w:hRule="atLeast"/>
        </w:trPr>
        <w:tc>
          <w:tcPr>
            <w:tcW w:w="7845"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项目</w:t>
            </w:r>
          </w:p>
        </w:tc>
        <w:tc>
          <w:tcPr>
            <w:tcW w:w="14455" w:type="dxa"/>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本年支出</w:t>
            </w:r>
          </w:p>
        </w:tc>
      </w:tr>
      <w:tr>
        <w:tblPrEx>
          <w:tblCellMar>
            <w:top w:w="0" w:type="dxa"/>
            <w:left w:w="0" w:type="dxa"/>
            <w:bottom w:w="0" w:type="dxa"/>
            <w:right w:w="0" w:type="dxa"/>
          </w:tblCellMar>
        </w:tblPrEx>
        <w:trPr>
          <w:trHeight w:val="312" w:hRule="atLeast"/>
        </w:trPr>
        <w:tc>
          <w:tcPr>
            <w:tcW w:w="2694"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功能分类科目编码</w:t>
            </w:r>
          </w:p>
        </w:tc>
        <w:tc>
          <w:tcPr>
            <w:tcW w:w="5151"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项目（按“项”级功能分类科目）</w:t>
            </w:r>
          </w:p>
        </w:tc>
        <w:tc>
          <w:tcPr>
            <w:tcW w:w="481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合计</w:t>
            </w:r>
          </w:p>
        </w:tc>
        <w:tc>
          <w:tcPr>
            <w:tcW w:w="481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基本支出</w:t>
            </w:r>
          </w:p>
        </w:tc>
        <w:tc>
          <w:tcPr>
            <w:tcW w:w="4821"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项目支出</w:t>
            </w:r>
          </w:p>
        </w:tc>
      </w:tr>
      <w:tr>
        <w:tblPrEx>
          <w:tblCellMar>
            <w:top w:w="0" w:type="dxa"/>
            <w:left w:w="0" w:type="dxa"/>
            <w:bottom w:w="0" w:type="dxa"/>
            <w:right w:w="0" w:type="dxa"/>
          </w:tblCellMar>
        </w:tblPrEx>
        <w:trPr>
          <w:trHeight w:val="312" w:hRule="atLeast"/>
        </w:trPr>
        <w:tc>
          <w:tcPr>
            <w:tcW w:w="2694"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515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482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r>
      <w:tr>
        <w:tblPrEx>
          <w:tblCellMar>
            <w:top w:w="0" w:type="dxa"/>
            <w:left w:w="0" w:type="dxa"/>
            <w:bottom w:w="0" w:type="dxa"/>
            <w:right w:w="0" w:type="dxa"/>
          </w:tblCellMar>
        </w:tblPrEx>
        <w:trPr>
          <w:trHeight w:val="615" w:hRule="atLeast"/>
        </w:trPr>
        <w:tc>
          <w:tcPr>
            <w:tcW w:w="2694"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515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482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r>
      <w:tr>
        <w:tblPrEx>
          <w:tblCellMar>
            <w:top w:w="0" w:type="dxa"/>
            <w:left w:w="0" w:type="dxa"/>
            <w:bottom w:w="0" w:type="dxa"/>
            <w:right w:w="0" w:type="dxa"/>
          </w:tblCellMar>
        </w:tblPrEx>
        <w:trPr>
          <w:trHeight w:val="308" w:hRule="atLeast"/>
        </w:trPr>
        <w:tc>
          <w:tcPr>
            <w:tcW w:w="7845" w:type="dxa"/>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合计</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2,899.11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1,436.94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1,462.17 </w:t>
            </w:r>
          </w:p>
        </w:tc>
      </w:tr>
      <w:tr>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205</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教育支出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5.64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5.64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20508</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进修及培训</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5.64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5.64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2050803</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培训支出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5.64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5.64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208</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社会保障和就业支出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174.49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169.94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4.55 </w:t>
            </w:r>
          </w:p>
        </w:tc>
      </w:tr>
      <w:tr>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20805</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行政事业单位养老支出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169.94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169.94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2080505</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机关事业单位基本养老保险缴费支出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107.64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107.64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2080506</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机关事业单位职业年金缴费支出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54.32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54.32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2080599</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其他行政事业单位养老支出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7.98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7.98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20808</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抚恤</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4.55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4.55 </w:t>
            </w:r>
          </w:p>
        </w:tc>
      </w:tr>
      <w:tr>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2080801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死亡抚恤</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4.55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4.55 </w:t>
            </w:r>
          </w:p>
        </w:tc>
      </w:tr>
      <w:tr>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210</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卫生健康支出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80.66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80.66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21011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行政事业单位医疗</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80.66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80.66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2101101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行政单位医疗</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70.62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70.62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2101103</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公务员医疗补助</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10.04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10.04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212</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城乡社区支出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2,559.12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1,101.51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1,457.61 </w:t>
            </w:r>
          </w:p>
        </w:tc>
      </w:tr>
      <w:tr>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21201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城乡社区管理事务</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2,559.12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1,101.51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1,457.61 </w:t>
            </w:r>
          </w:p>
        </w:tc>
      </w:tr>
      <w:tr>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2120101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行政运行</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1,101.51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1,101.51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2120104</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城管执法</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1,321.64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1,321.64 </w:t>
            </w:r>
          </w:p>
        </w:tc>
      </w:tr>
      <w:tr>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2120199</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其他城乡社区管理事务支出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135.97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135.97 </w:t>
            </w:r>
          </w:p>
        </w:tc>
      </w:tr>
      <w:tr>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221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住房保障支出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79.19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79.19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22102</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住房改革支出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79.19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79.19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2210201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住房公积金</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79.19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79.19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 </w:t>
            </w:r>
          </w:p>
        </w:tc>
      </w:tr>
    </w:tbl>
    <w:p>
      <w:pPr>
        <w:rPr>
          <w:rFonts w:hint="default" w:cs="宋体"/>
          <w:sz w:val="21"/>
          <w:szCs w:val="21"/>
        </w:rPr>
      </w:pPr>
      <w:r>
        <w:rPr>
          <w:rFonts w:cs="宋体"/>
          <w:sz w:val="21"/>
          <w:szCs w:val="21"/>
          <w:lang w:bidi="ar"/>
        </w:rPr>
        <w:t>备注：1.本表反映单位本年度一般公共预算财政拨款支出情况。</w:t>
      </w:r>
      <w:r>
        <w:rPr>
          <w:rFonts w:cs="宋体"/>
          <w:sz w:val="21"/>
          <w:szCs w:val="21"/>
          <w:lang w:bidi="ar"/>
        </w:rPr>
        <w:br w:type="textWrapping"/>
      </w:r>
      <w:r>
        <w:rPr>
          <w:rFonts w:cs="宋体"/>
          <w:sz w:val="21"/>
          <w:szCs w:val="21"/>
          <w:lang w:bidi="ar"/>
        </w:rPr>
        <w:t xml:space="preserve">      2.本套报表金额单位转换时可能存在尾数误差。</w:t>
      </w:r>
      <w:r>
        <w:rPr>
          <w:rFonts w:cs="宋体"/>
          <w:sz w:val="21"/>
          <w:szCs w:val="21"/>
          <w:lang w:bidi="ar"/>
        </w:rPr>
        <w:br w:type="textWrapping"/>
      </w:r>
      <w:r>
        <w:rPr>
          <w:rFonts w:cs="宋体"/>
          <w:sz w:val="21"/>
          <w:szCs w:val="21"/>
        </w:rPr>
        <w:br w:type="textWrapping"/>
      </w:r>
    </w:p>
    <w:p>
      <w:pPr>
        <w:ind w:firstLine="630" w:firstLineChars="300"/>
        <w:rPr>
          <w:rFonts w:hint="default" w:cs="宋体"/>
          <w:sz w:val="21"/>
          <w:szCs w:val="21"/>
        </w:rPr>
      </w:pPr>
      <w:r>
        <w:rPr>
          <w:rFonts w:cs="宋体"/>
          <w:sz w:val="21"/>
          <w:szCs w:val="21"/>
        </w:rPr>
        <w:br w:type="page"/>
      </w:r>
    </w:p>
    <w:tbl>
      <w:tblPr>
        <w:tblStyle w:val="6"/>
        <w:tblW w:w="22280" w:type="dxa"/>
        <w:tblInd w:w="0" w:type="dxa"/>
        <w:tblLayout w:type="fixed"/>
        <w:tblCellMar>
          <w:top w:w="0" w:type="dxa"/>
          <w:left w:w="0" w:type="dxa"/>
          <w:bottom w:w="0" w:type="dxa"/>
          <w:right w:w="0" w:type="dxa"/>
        </w:tblCellMar>
      </w:tblPr>
      <w:tblGrid>
        <w:gridCol w:w="1289"/>
        <w:gridCol w:w="3495"/>
        <w:gridCol w:w="2829"/>
        <w:gridCol w:w="1122"/>
        <w:gridCol w:w="2330"/>
        <w:gridCol w:w="2747"/>
        <w:gridCol w:w="1509"/>
        <w:gridCol w:w="4465"/>
        <w:gridCol w:w="2494"/>
      </w:tblGrid>
      <w:tr>
        <w:tblPrEx>
          <w:tblCellMar>
            <w:top w:w="0" w:type="dxa"/>
            <w:left w:w="0" w:type="dxa"/>
            <w:bottom w:w="0" w:type="dxa"/>
            <w:right w:w="0" w:type="dxa"/>
          </w:tblCellMar>
        </w:tblPrEx>
        <w:trPr>
          <w:trHeight w:val="590" w:hRule="atLeast"/>
        </w:trPr>
        <w:tc>
          <w:tcPr>
            <w:tcW w:w="22280" w:type="dxa"/>
            <w:gridSpan w:val="9"/>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40"/>
                <w:szCs w:val="40"/>
              </w:rPr>
            </w:pPr>
            <w:r>
              <w:rPr>
                <w:rFonts w:cs="宋体"/>
                <w:b/>
                <w:color w:val="000000"/>
                <w:sz w:val="44"/>
                <w:szCs w:val="44"/>
                <w:lang w:bidi="ar"/>
              </w:rPr>
              <w:t>一般公共预算财政拨款基本支出决算表</w:t>
            </w:r>
          </w:p>
        </w:tc>
      </w:tr>
      <w:tr>
        <w:tblPrEx>
          <w:tblCellMar>
            <w:top w:w="0" w:type="dxa"/>
            <w:left w:w="0" w:type="dxa"/>
            <w:bottom w:w="0" w:type="dxa"/>
            <w:right w:w="0" w:type="dxa"/>
          </w:tblCellMar>
        </w:tblPrEx>
        <w:trPr>
          <w:trHeight w:val="302" w:hRule="atLeast"/>
        </w:trPr>
        <w:tc>
          <w:tcPr>
            <w:tcW w:w="4784" w:type="dxa"/>
            <w:gridSpan w:val="2"/>
            <w:vMerge w:val="restart"/>
            <w:tcBorders>
              <w:top w:val="nil"/>
              <w:left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r>
              <w:rPr>
                <w:rFonts w:asciiTheme="minorEastAsia" w:hAnsiTheme="minorEastAsia" w:eastAsiaTheme="minorEastAsia" w:cstheme="minorEastAsia"/>
              </w:rPr>
              <w:t>公开单位</w:t>
            </w:r>
            <w:r>
              <w:rPr>
                <w:rFonts w:asciiTheme="minorEastAsia" w:hAnsiTheme="minorEastAsia" w:eastAsiaTheme="minorEastAsia" w:cstheme="minorEastAsia"/>
                <w:color w:val="000000"/>
                <w:lang w:bidi="ar"/>
              </w:rPr>
              <w:t xml:space="preserve">： </w:t>
            </w:r>
            <w:r>
              <w:rPr>
                <w:color w:val="000000"/>
                <w:u w:color="auto"/>
              </w:rPr>
              <w:t>重庆市长寿区城市管理综合行政执法支队</w:t>
            </w:r>
          </w:p>
        </w:tc>
        <w:tc>
          <w:tcPr>
            <w:tcW w:w="2829"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1122"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233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2747"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1509"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4465"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2494"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rPr>
            </w:pPr>
            <w:r>
              <w:rPr>
                <w:rFonts w:cs="宋体"/>
                <w:color w:val="000000"/>
                <w:lang w:bidi="ar"/>
              </w:rPr>
              <w:t>公开06表</w:t>
            </w:r>
          </w:p>
        </w:tc>
      </w:tr>
      <w:tr>
        <w:tblPrEx>
          <w:tblCellMar>
            <w:top w:w="0" w:type="dxa"/>
            <w:left w:w="0" w:type="dxa"/>
            <w:bottom w:w="0" w:type="dxa"/>
            <w:right w:w="0" w:type="dxa"/>
          </w:tblCellMar>
        </w:tblPrEx>
        <w:trPr>
          <w:trHeight w:val="302" w:hRule="atLeast"/>
        </w:trPr>
        <w:tc>
          <w:tcPr>
            <w:tcW w:w="4784" w:type="dxa"/>
            <w:gridSpan w:val="2"/>
            <w:vMerge w:val="continue"/>
            <w:tcBorders>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2829"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1122"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233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2747"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1509"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4465"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2494"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rPr>
            </w:pPr>
            <w:r>
              <w:rPr>
                <w:rFonts w:cs="宋体"/>
                <w:color w:val="000000"/>
                <w:lang w:bidi="ar"/>
              </w:rPr>
              <w:t>单位：</w:t>
            </w:r>
            <w:r>
              <w:rPr>
                <w:rFonts w:cs="宋体"/>
              </w:rPr>
              <w:t>万元</w:t>
            </w:r>
          </w:p>
        </w:tc>
      </w:tr>
      <w:tr>
        <w:tblPrEx>
          <w:tblCellMar>
            <w:top w:w="0" w:type="dxa"/>
            <w:left w:w="0" w:type="dxa"/>
            <w:bottom w:w="0" w:type="dxa"/>
            <w:right w:w="0" w:type="dxa"/>
          </w:tblCellMar>
        </w:tblPrEx>
        <w:trPr>
          <w:trHeight w:val="311" w:hRule="atLeast"/>
        </w:trPr>
        <w:tc>
          <w:tcPr>
            <w:tcW w:w="7613" w:type="dxa"/>
            <w:gridSpan w:val="3"/>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人员经费</w:t>
            </w:r>
          </w:p>
        </w:tc>
        <w:tc>
          <w:tcPr>
            <w:tcW w:w="14667" w:type="dxa"/>
            <w:gridSpan w:val="6"/>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公用经费</w:t>
            </w:r>
          </w:p>
        </w:tc>
      </w:tr>
      <w:tr>
        <w:tblPrEx>
          <w:tblCellMar>
            <w:top w:w="0" w:type="dxa"/>
            <w:left w:w="0" w:type="dxa"/>
            <w:bottom w:w="0" w:type="dxa"/>
            <w:right w:w="0" w:type="dxa"/>
          </w:tblCellMar>
        </w:tblPrEx>
        <w:trPr>
          <w:trHeight w:val="312" w:hRule="atLeast"/>
        </w:trPr>
        <w:tc>
          <w:tcPr>
            <w:tcW w:w="1289"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经济分类科目编码</w:t>
            </w:r>
          </w:p>
        </w:tc>
        <w:tc>
          <w:tcPr>
            <w:tcW w:w="3495"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经济分类科目（按“款”级功能分类科目）</w:t>
            </w:r>
          </w:p>
        </w:tc>
        <w:tc>
          <w:tcPr>
            <w:tcW w:w="2829"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金额</w:t>
            </w:r>
          </w:p>
        </w:tc>
        <w:tc>
          <w:tcPr>
            <w:tcW w:w="1122"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经济分类科目编码</w:t>
            </w:r>
          </w:p>
        </w:tc>
        <w:tc>
          <w:tcPr>
            <w:tcW w:w="233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经济分类科目（按“款”级功能分类科目）</w:t>
            </w:r>
          </w:p>
        </w:tc>
        <w:tc>
          <w:tcPr>
            <w:tcW w:w="274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金额</w:t>
            </w:r>
          </w:p>
        </w:tc>
        <w:tc>
          <w:tcPr>
            <w:tcW w:w="1509"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经济分类科目编码</w:t>
            </w:r>
          </w:p>
        </w:tc>
        <w:tc>
          <w:tcPr>
            <w:tcW w:w="4465"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经济分类科目（按“款”级功能分类科目）</w:t>
            </w:r>
          </w:p>
        </w:tc>
        <w:tc>
          <w:tcPr>
            <w:tcW w:w="2494"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金额</w:t>
            </w:r>
          </w:p>
        </w:tc>
      </w:tr>
      <w:tr>
        <w:tblPrEx>
          <w:tblCellMar>
            <w:top w:w="0" w:type="dxa"/>
            <w:left w:w="0" w:type="dxa"/>
            <w:bottom w:w="0" w:type="dxa"/>
            <w:right w:w="0" w:type="dxa"/>
          </w:tblCellMar>
        </w:tblPrEx>
        <w:trPr>
          <w:trHeight w:val="799" w:hRule="atLeast"/>
        </w:trPr>
        <w:tc>
          <w:tcPr>
            <w:tcW w:w="128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349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82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1122"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33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74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150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446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494"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工资福利支出</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1,163.89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商品和服务支出</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264.47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310</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资本性支出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30101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基本工资</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259.29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30201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办公费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27.49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31001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房屋建筑物购建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30102</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津贴补贴</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202.37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30202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印刷费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31002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办公设备购置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30103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奖金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373.02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30203</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咨询费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31003</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专用设备购置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30106</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伙食补助费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30204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手续费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31005</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基础设施建设</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30107</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绩效工资</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30205</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水费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5.39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31006</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大型修缮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33"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30108</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机关事业单位基本养老保险缴费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107.64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30206</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电费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10.75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31007</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信息网络及软件购置更新</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30109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职业年金缴费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54.32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30207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邮电费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16.14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31008</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物资储备</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64"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30110</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职工基本医疗保险缴费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70.62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30208</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取暖费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31009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土地补偿</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30111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公务员医疗补助缴费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9.44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30209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物业管理费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31010</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安置补助</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33"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30112</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其他社会保障缴费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2.02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30211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差旅费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26.33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31011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地上附着物和青苗补偿</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30113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住房公积金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79.19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30212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因公出国（境）费用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31012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拆迁补偿</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30114</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医疗费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30213</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维修（护）费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10.55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31013</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公务用车购置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30199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其他工资福利支出</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5.98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30214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租赁费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32.28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31019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其他交通工具购置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对个人和家庭的补助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8.58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30215</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会议费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0.66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31021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文物和陈列品购置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30301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离休费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30216</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培训费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5.11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31022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无形资产购置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30302</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退休费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30217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公务接待费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0.20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31099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其他资本性支出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30303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退职（役）费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30218</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专用材料费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312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对企业补助</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30304</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抚恤金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30224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被装购置费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31201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资本金注入</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30305</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生活补助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7.98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30225</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专用燃料费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31203</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政府投资基金股权投资</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30306</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救济费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30226</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劳务费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15.24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31204</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费用补贴</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30307</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医疗费补助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0.60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30227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委托业务费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2.00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31205</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利息补贴</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30308</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助学金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30228</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工会经费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5.05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31299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其他对企业补助</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30309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奖励金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30229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福利费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其他支出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30310</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个人农业生产补贴</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30231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公务用车运行维护费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27.51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39907</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国家赔偿费用支出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30311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代缴社会保险费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30239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其他交通费用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50.53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39908</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对民间非营利组织和群众性自治组织补贴</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30399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其他对个人和家庭的补助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30240</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税金及附加费用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39909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经常性赠与</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30299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其他商品和服务支出</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29.24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39910</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资本性赠与</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债务利息及费用支出</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39999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其他支出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30701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国内债务付息</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30702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国外债务付息</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30703</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国内债务发行费用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30704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国外债务发行费用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r>
      <w:tr>
        <w:tblPrEx>
          <w:tblCellMar>
            <w:top w:w="0" w:type="dxa"/>
            <w:left w:w="0" w:type="dxa"/>
            <w:bottom w:w="0" w:type="dxa"/>
            <w:right w:w="0" w:type="dxa"/>
          </w:tblCellMar>
        </w:tblPrEx>
        <w:trPr>
          <w:trHeight w:val="321" w:hRule="atLeast"/>
        </w:trPr>
        <w:tc>
          <w:tcPr>
            <w:tcW w:w="4784" w:type="dxa"/>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人员经费合计</w:t>
            </w:r>
          </w:p>
        </w:tc>
        <w:tc>
          <w:tcPr>
            <w:tcW w:w="282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1,172.47 </w:t>
            </w:r>
          </w:p>
        </w:tc>
        <w:tc>
          <w:tcPr>
            <w:tcW w:w="12173" w:type="dxa"/>
            <w:gridSpan w:val="5"/>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公用经费合计</w:t>
            </w:r>
          </w:p>
        </w:tc>
        <w:tc>
          <w:tcPr>
            <w:tcW w:w="249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264.47 </w:t>
            </w:r>
          </w:p>
        </w:tc>
      </w:tr>
    </w:tbl>
    <w:p>
      <w:pPr>
        <w:rPr>
          <w:rFonts w:hint="default" w:cs="宋体"/>
          <w:sz w:val="21"/>
          <w:szCs w:val="21"/>
        </w:rPr>
      </w:pPr>
      <w:r>
        <w:rPr>
          <w:rFonts w:cs="宋体"/>
          <w:sz w:val="21"/>
          <w:szCs w:val="21"/>
          <w:lang w:bidi="ar"/>
        </w:rPr>
        <w:t>备注：1.本表反映单位本年度一般公共预算财政拨款基本支出明细情况。</w:t>
      </w:r>
      <w:r>
        <w:rPr>
          <w:rFonts w:cs="宋体"/>
          <w:sz w:val="21"/>
          <w:szCs w:val="21"/>
          <w:lang w:bidi="ar"/>
        </w:rPr>
        <w:br w:type="textWrapping"/>
      </w:r>
      <w:r>
        <w:rPr>
          <w:rFonts w:cs="宋体"/>
          <w:sz w:val="21"/>
          <w:szCs w:val="21"/>
          <w:lang w:bidi="ar"/>
        </w:rPr>
        <w:t xml:space="preserve">      2.本套报表金额单位转换时可能存在尾数误差。</w:t>
      </w:r>
      <w:r>
        <w:rPr>
          <w:rFonts w:cs="宋体"/>
          <w:sz w:val="21"/>
          <w:szCs w:val="21"/>
          <w:lang w:bidi="ar"/>
        </w:rPr>
        <w:br w:type="textWrapping"/>
      </w:r>
      <w:r>
        <w:rPr>
          <w:rFonts w:cs="宋体"/>
          <w:sz w:val="21"/>
          <w:szCs w:val="21"/>
        </w:rPr>
        <w:br w:type="textWrapping"/>
      </w:r>
    </w:p>
    <w:p>
      <w:pPr>
        <w:rPr>
          <w:rFonts w:hint="default" w:cs="宋体"/>
          <w:sz w:val="21"/>
          <w:szCs w:val="21"/>
        </w:rPr>
      </w:pPr>
      <w:r>
        <w:rPr>
          <w:rFonts w:cs="宋体"/>
          <w:sz w:val="21"/>
          <w:szCs w:val="21"/>
        </w:rPr>
        <w:br w:type="page"/>
      </w:r>
    </w:p>
    <w:tbl>
      <w:tblPr>
        <w:tblStyle w:val="6"/>
        <w:tblW w:w="22240" w:type="dxa"/>
        <w:tblInd w:w="0" w:type="dxa"/>
        <w:tblLayout w:type="fixed"/>
        <w:tblCellMar>
          <w:top w:w="0" w:type="dxa"/>
          <w:left w:w="0" w:type="dxa"/>
          <w:bottom w:w="0" w:type="dxa"/>
          <w:right w:w="0" w:type="dxa"/>
        </w:tblCellMar>
      </w:tblPr>
      <w:tblGrid>
        <w:gridCol w:w="2686"/>
        <w:gridCol w:w="4465"/>
        <w:gridCol w:w="2473"/>
        <w:gridCol w:w="2473"/>
        <w:gridCol w:w="2473"/>
        <w:gridCol w:w="2473"/>
        <w:gridCol w:w="2558"/>
        <w:gridCol w:w="2639"/>
      </w:tblGrid>
      <w:tr>
        <w:tblPrEx>
          <w:tblCellMar>
            <w:top w:w="0" w:type="dxa"/>
            <w:left w:w="0" w:type="dxa"/>
            <w:bottom w:w="0" w:type="dxa"/>
            <w:right w:w="0" w:type="dxa"/>
          </w:tblCellMar>
        </w:tblPrEx>
        <w:trPr>
          <w:trHeight w:val="644" w:hRule="atLeast"/>
        </w:trPr>
        <w:tc>
          <w:tcPr>
            <w:tcW w:w="22240" w:type="dxa"/>
            <w:gridSpan w:val="8"/>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40"/>
                <w:szCs w:val="40"/>
              </w:rPr>
            </w:pPr>
            <w:r>
              <w:rPr>
                <w:rFonts w:cs="宋体"/>
                <w:b/>
                <w:color w:val="000000"/>
                <w:sz w:val="44"/>
                <w:szCs w:val="44"/>
                <w:lang w:bidi="ar"/>
              </w:rPr>
              <w:t>政府性基金预算财政拨款收入支出决算表</w:t>
            </w:r>
          </w:p>
        </w:tc>
      </w:tr>
      <w:tr>
        <w:tblPrEx>
          <w:tblCellMar>
            <w:top w:w="0" w:type="dxa"/>
            <w:left w:w="0" w:type="dxa"/>
            <w:bottom w:w="0" w:type="dxa"/>
            <w:right w:w="0" w:type="dxa"/>
          </w:tblCellMar>
        </w:tblPrEx>
        <w:trPr>
          <w:trHeight w:val="329" w:hRule="atLeast"/>
        </w:trPr>
        <w:tc>
          <w:tcPr>
            <w:tcW w:w="7151" w:type="dxa"/>
            <w:gridSpan w:val="2"/>
            <w:vMerge w:val="restart"/>
            <w:tcBorders>
              <w:top w:val="nil"/>
              <w:left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r>
              <w:rPr>
                <w:rFonts w:asciiTheme="minorEastAsia" w:hAnsiTheme="minorEastAsia" w:eastAsiaTheme="minorEastAsia" w:cstheme="minorEastAsia"/>
              </w:rPr>
              <w:t>公开单位</w:t>
            </w:r>
            <w:r>
              <w:rPr>
                <w:rFonts w:asciiTheme="minorEastAsia" w:hAnsiTheme="minorEastAsia" w:eastAsiaTheme="minorEastAsia" w:cstheme="minorEastAsia"/>
                <w:color w:val="000000"/>
                <w:lang w:bidi="ar"/>
              </w:rPr>
              <w:t xml:space="preserve">： </w:t>
            </w:r>
            <w:r>
              <w:rPr>
                <w:color w:val="000000"/>
                <w:u w:color="auto"/>
              </w:rPr>
              <w:t>重庆市长寿区城市管理综合行政执法支队</w:t>
            </w:r>
          </w:p>
        </w:tc>
        <w:tc>
          <w:tcPr>
            <w:tcW w:w="2473"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2473"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2473"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2473"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2558"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2639"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rPr>
            </w:pPr>
            <w:r>
              <w:rPr>
                <w:rFonts w:cs="宋体"/>
                <w:color w:val="000000"/>
                <w:lang w:bidi="ar"/>
              </w:rPr>
              <w:t>公开07表</w:t>
            </w:r>
          </w:p>
        </w:tc>
      </w:tr>
      <w:tr>
        <w:tblPrEx>
          <w:tblCellMar>
            <w:top w:w="0" w:type="dxa"/>
            <w:left w:w="0" w:type="dxa"/>
            <w:bottom w:w="0" w:type="dxa"/>
            <w:right w:w="0" w:type="dxa"/>
          </w:tblCellMar>
        </w:tblPrEx>
        <w:trPr>
          <w:trHeight w:val="329" w:hRule="atLeast"/>
        </w:trPr>
        <w:tc>
          <w:tcPr>
            <w:tcW w:w="7151" w:type="dxa"/>
            <w:gridSpan w:val="2"/>
            <w:vMerge w:val="continue"/>
            <w:tcBorders>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2473"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2473"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2473"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2473"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2558"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2639"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rPr>
            </w:pPr>
            <w:r>
              <w:rPr>
                <w:rFonts w:cs="宋体"/>
                <w:color w:val="000000"/>
                <w:lang w:bidi="ar"/>
              </w:rPr>
              <w:t>单位：</w:t>
            </w:r>
            <w:r>
              <w:rPr>
                <w:rFonts w:cs="宋体"/>
              </w:rPr>
              <w:t>万元</w:t>
            </w:r>
          </w:p>
        </w:tc>
      </w:tr>
      <w:tr>
        <w:tblPrEx>
          <w:tblCellMar>
            <w:top w:w="0" w:type="dxa"/>
            <w:left w:w="0" w:type="dxa"/>
            <w:bottom w:w="0" w:type="dxa"/>
            <w:right w:w="0" w:type="dxa"/>
          </w:tblCellMar>
        </w:tblPrEx>
        <w:trPr>
          <w:trHeight w:val="339" w:hRule="atLeast"/>
        </w:trPr>
        <w:tc>
          <w:tcPr>
            <w:tcW w:w="7151"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项目</w:t>
            </w:r>
          </w:p>
        </w:tc>
        <w:tc>
          <w:tcPr>
            <w:tcW w:w="2473"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年初结转和结余</w:t>
            </w:r>
          </w:p>
        </w:tc>
        <w:tc>
          <w:tcPr>
            <w:tcW w:w="247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本年收入</w:t>
            </w:r>
          </w:p>
        </w:tc>
        <w:tc>
          <w:tcPr>
            <w:tcW w:w="7504" w:type="dxa"/>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本年支出</w:t>
            </w:r>
          </w:p>
        </w:tc>
        <w:tc>
          <w:tcPr>
            <w:tcW w:w="2639"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年末结转和结余</w:t>
            </w:r>
          </w:p>
        </w:tc>
      </w:tr>
      <w:tr>
        <w:tblPrEx>
          <w:tblCellMar>
            <w:top w:w="0" w:type="dxa"/>
            <w:left w:w="0" w:type="dxa"/>
            <w:bottom w:w="0" w:type="dxa"/>
            <w:right w:w="0" w:type="dxa"/>
          </w:tblCellMar>
        </w:tblPrEx>
        <w:trPr>
          <w:trHeight w:val="335" w:hRule="atLeast"/>
        </w:trPr>
        <w:tc>
          <w:tcPr>
            <w:tcW w:w="2686"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功能分类科目编码</w:t>
            </w:r>
          </w:p>
        </w:tc>
        <w:tc>
          <w:tcPr>
            <w:tcW w:w="4465"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项目（按“项”级功能分类科目）</w:t>
            </w:r>
          </w:p>
        </w:tc>
        <w:tc>
          <w:tcPr>
            <w:tcW w:w="247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47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47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合计</w:t>
            </w:r>
          </w:p>
        </w:tc>
        <w:tc>
          <w:tcPr>
            <w:tcW w:w="247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基本支出</w:t>
            </w:r>
          </w:p>
        </w:tc>
        <w:tc>
          <w:tcPr>
            <w:tcW w:w="2558"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项目支出</w:t>
            </w:r>
          </w:p>
        </w:tc>
        <w:tc>
          <w:tcPr>
            <w:tcW w:w="26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r>
      <w:tr>
        <w:tblPrEx>
          <w:tblCellMar>
            <w:top w:w="0" w:type="dxa"/>
            <w:left w:w="0" w:type="dxa"/>
            <w:bottom w:w="0" w:type="dxa"/>
            <w:right w:w="0" w:type="dxa"/>
          </w:tblCellMar>
        </w:tblPrEx>
        <w:trPr>
          <w:trHeight w:val="335" w:hRule="atLeast"/>
        </w:trPr>
        <w:tc>
          <w:tcPr>
            <w:tcW w:w="268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446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47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47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558"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6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r>
      <w:tr>
        <w:tblPrEx>
          <w:tblCellMar>
            <w:top w:w="0" w:type="dxa"/>
            <w:left w:w="0" w:type="dxa"/>
            <w:bottom w:w="0" w:type="dxa"/>
            <w:right w:w="0" w:type="dxa"/>
          </w:tblCellMar>
        </w:tblPrEx>
        <w:trPr>
          <w:trHeight w:val="645" w:hRule="atLeast"/>
        </w:trPr>
        <w:tc>
          <w:tcPr>
            <w:tcW w:w="268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446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47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47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558"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6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r>
      <w:tr>
        <w:tblPrEx>
          <w:tblCellMar>
            <w:top w:w="0" w:type="dxa"/>
            <w:left w:w="0" w:type="dxa"/>
            <w:bottom w:w="0" w:type="dxa"/>
            <w:right w:w="0" w:type="dxa"/>
          </w:tblCellMar>
        </w:tblPrEx>
        <w:trPr>
          <w:trHeight w:val="339" w:hRule="atLeast"/>
        </w:trPr>
        <w:tc>
          <w:tcPr>
            <w:tcW w:w="7151" w:type="dxa"/>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合计</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115.68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115.68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 </w:t>
            </w:r>
          </w:p>
        </w:tc>
        <w:tc>
          <w:tcPr>
            <w:tcW w:w="25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115.68 </w:t>
            </w:r>
          </w:p>
        </w:tc>
        <w:tc>
          <w:tcPr>
            <w:tcW w:w="26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 </w:t>
            </w:r>
          </w:p>
        </w:tc>
      </w:tr>
      <w:tr>
        <w:tblPrEx>
          <w:tblCellMar>
            <w:top w:w="0" w:type="dxa"/>
            <w:left w:w="0" w:type="dxa"/>
            <w:bottom w:w="0" w:type="dxa"/>
            <w:right w:w="0" w:type="dxa"/>
          </w:tblCellMar>
        </w:tblPrEx>
        <w:trPr>
          <w:trHeight w:val="349" w:hRule="atLeast"/>
        </w:trPr>
        <w:tc>
          <w:tcPr>
            <w:tcW w:w="268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both"/>
              <w:textAlignment w:val="center"/>
              <w:rPr>
                <w:rFonts w:hint="default" w:cs="宋体"/>
                <w:color w:val="000000"/>
                <w:sz w:val="22"/>
                <w:szCs w:val="22"/>
              </w:rPr>
            </w:pPr>
            <w:r>
              <w:rPr>
                <w:rFonts w:cs="宋体"/>
                <w:b/>
                <w:color w:val="000000"/>
                <w:sz w:val="21"/>
                <w:szCs w:val="21"/>
                <w:lang w:bidi="ar"/>
              </w:rPr>
              <w:t>212</w:t>
            </w:r>
          </w:p>
        </w:tc>
        <w:tc>
          <w:tcPr>
            <w:tcW w:w="44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both"/>
              <w:textAlignment w:val="center"/>
              <w:rPr>
                <w:rFonts w:hint="default" w:cs="宋体"/>
                <w:color w:val="000000"/>
                <w:sz w:val="22"/>
                <w:szCs w:val="22"/>
              </w:rPr>
            </w:pPr>
            <w:r>
              <w:rPr>
                <w:rFonts w:cs="宋体"/>
                <w:b/>
                <w:color w:val="000000"/>
                <w:sz w:val="21"/>
                <w:szCs w:val="21"/>
                <w:lang w:bidi="ar"/>
              </w:rPr>
              <w:t>城乡社区支出</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115.68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115.68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 </w:t>
            </w:r>
          </w:p>
        </w:tc>
        <w:tc>
          <w:tcPr>
            <w:tcW w:w="25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115.68 </w:t>
            </w:r>
          </w:p>
        </w:tc>
        <w:tc>
          <w:tcPr>
            <w:tcW w:w="26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49" w:hRule="atLeast"/>
        </w:trPr>
        <w:tc>
          <w:tcPr>
            <w:tcW w:w="268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both"/>
              <w:textAlignment w:val="center"/>
              <w:rPr>
                <w:rFonts w:hint="default" w:cs="宋体"/>
                <w:color w:val="000000"/>
                <w:sz w:val="22"/>
                <w:szCs w:val="22"/>
              </w:rPr>
            </w:pPr>
            <w:r>
              <w:rPr>
                <w:rFonts w:cs="宋体"/>
                <w:b/>
                <w:color w:val="000000"/>
                <w:sz w:val="21"/>
                <w:szCs w:val="21"/>
                <w:lang w:bidi="ar"/>
              </w:rPr>
              <w:t>21213</w:t>
            </w:r>
          </w:p>
        </w:tc>
        <w:tc>
          <w:tcPr>
            <w:tcW w:w="44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both"/>
              <w:textAlignment w:val="center"/>
              <w:rPr>
                <w:rFonts w:hint="default" w:cs="宋体"/>
                <w:color w:val="000000"/>
                <w:sz w:val="22"/>
                <w:szCs w:val="22"/>
              </w:rPr>
            </w:pPr>
            <w:r>
              <w:rPr>
                <w:rFonts w:cs="宋体"/>
                <w:b/>
                <w:color w:val="000000"/>
                <w:sz w:val="21"/>
                <w:szCs w:val="21"/>
                <w:lang w:bidi="ar"/>
              </w:rPr>
              <w:t>城市基础设施配套费安排的支出</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115.68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115.68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 </w:t>
            </w:r>
          </w:p>
        </w:tc>
        <w:tc>
          <w:tcPr>
            <w:tcW w:w="25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115.68 </w:t>
            </w:r>
          </w:p>
        </w:tc>
        <w:tc>
          <w:tcPr>
            <w:tcW w:w="26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49" w:hRule="atLeast"/>
        </w:trPr>
        <w:tc>
          <w:tcPr>
            <w:tcW w:w="268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both"/>
              <w:textAlignment w:val="center"/>
              <w:rPr>
                <w:rFonts w:hint="default" w:cs="宋体"/>
                <w:color w:val="000000"/>
                <w:sz w:val="22"/>
                <w:szCs w:val="22"/>
              </w:rPr>
            </w:pPr>
            <w:r>
              <w:rPr>
                <w:rFonts w:cs="宋体"/>
                <w:color w:val="000000"/>
                <w:sz w:val="21"/>
                <w:szCs w:val="21"/>
                <w:lang w:bidi="ar"/>
              </w:rPr>
              <w:t>2121399</w:t>
            </w:r>
          </w:p>
        </w:tc>
        <w:tc>
          <w:tcPr>
            <w:tcW w:w="44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both"/>
              <w:textAlignment w:val="center"/>
              <w:rPr>
                <w:rFonts w:hint="default" w:cs="宋体"/>
                <w:color w:val="000000"/>
                <w:sz w:val="22"/>
                <w:szCs w:val="22"/>
              </w:rPr>
            </w:pPr>
            <w:r>
              <w:rPr>
                <w:rFonts w:cs="宋体"/>
                <w:color w:val="000000"/>
                <w:sz w:val="21"/>
                <w:szCs w:val="21"/>
                <w:lang w:bidi="ar"/>
              </w:rPr>
              <w:t>其他城市基础设施配套费安排的支出</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115.68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115.68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 </w:t>
            </w:r>
          </w:p>
        </w:tc>
        <w:tc>
          <w:tcPr>
            <w:tcW w:w="25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115.68 </w:t>
            </w:r>
          </w:p>
        </w:tc>
        <w:tc>
          <w:tcPr>
            <w:tcW w:w="26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 </w:t>
            </w:r>
          </w:p>
        </w:tc>
      </w:tr>
    </w:tbl>
    <w:p>
      <w:pPr>
        <w:rPr>
          <w:rFonts w:hint="default" w:cs="宋体"/>
          <w:sz w:val="21"/>
          <w:szCs w:val="21"/>
        </w:rPr>
      </w:pPr>
      <w:r>
        <w:rPr>
          <w:rFonts w:cs="宋体"/>
          <w:sz w:val="21"/>
          <w:szCs w:val="21"/>
          <w:lang w:bidi="ar"/>
        </w:rPr>
        <w:t>备注：1.本表反映单位本年度政府性基金预算财政拨款收入支出及结转和结余情况。</w:t>
      </w:r>
      <w:r>
        <w:rPr>
          <w:rFonts w:cs="宋体"/>
          <w:sz w:val="21"/>
          <w:szCs w:val="21"/>
          <w:lang w:bidi="ar"/>
        </w:rPr>
        <w:br w:type="textWrapping"/>
      </w:r>
      <w:r>
        <w:rPr>
          <w:rFonts w:cs="宋体"/>
          <w:sz w:val="21"/>
          <w:szCs w:val="21"/>
          <w:lang w:bidi="ar"/>
        </w:rPr>
        <w:t xml:space="preserve">      2.本套报表金额单位转换时可能存在尾数误差。</w:t>
      </w:r>
      <w:r>
        <w:rPr>
          <w:rFonts w:cs="宋体"/>
          <w:sz w:val="21"/>
          <w:szCs w:val="21"/>
          <w:lang w:bidi="ar"/>
        </w:rPr>
        <w:br w:type="textWrapping"/>
      </w:r>
      <w:r>
        <w:rPr>
          <w:rFonts w:cs="宋体"/>
          <w:sz w:val="21"/>
          <w:szCs w:val="21"/>
        </w:rPr>
        <w:br w:type="textWrapping"/>
      </w:r>
    </w:p>
    <w:p>
      <w:pPr>
        <w:rPr>
          <w:rFonts w:hint="default" w:cs="宋体"/>
          <w:sz w:val="21"/>
          <w:szCs w:val="21"/>
        </w:rPr>
      </w:pPr>
      <w:r>
        <w:rPr>
          <w:rFonts w:cs="宋体"/>
          <w:sz w:val="21"/>
          <w:szCs w:val="21"/>
        </w:rPr>
        <w:br w:type="page"/>
      </w:r>
    </w:p>
    <w:tbl>
      <w:tblPr>
        <w:tblStyle w:val="6"/>
        <w:tblW w:w="22220" w:type="dxa"/>
        <w:tblInd w:w="0" w:type="dxa"/>
        <w:tblLayout w:type="fixed"/>
        <w:tblCellMar>
          <w:top w:w="0" w:type="dxa"/>
          <w:left w:w="0" w:type="dxa"/>
          <w:bottom w:w="0" w:type="dxa"/>
          <w:right w:w="0" w:type="dxa"/>
        </w:tblCellMar>
      </w:tblPr>
      <w:tblGrid>
        <w:gridCol w:w="2729"/>
        <w:gridCol w:w="4420"/>
        <w:gridCol w:w="4736"/>
        <w:gridCol w:w="5423"/>
        <w:gridCol w:w="4912"/>
      </w:tblGrid>
      <w:tr>
        <w:tblPrEx>
          <w:tblCellMar>
            <w:top w:w="0" w:type="dxa"/>
            <w:left w:w="0" w:type="dxa"/>
            <w:bottom w:w="0" w:type="dxa"/>
            <w:right w:w="0" w:type="dxa"/>
          </w:tblCellMar>
        </w:tblPrEx>
        <w:trPr>
          <w:trHeight w:val="650" w:hRule="atLeast"/>
        </w:trPr>
        <w:tc>
          <w:tcPr>
            <w:tcW w:w="22220" w:type="dxa"/>
            <w:gridSpan w:val="5"/>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40"/>
                <w:szCs w:val="40"/>
              </w:rPr>
            </w:pPr>
            <w:r>
              <w:rPr>
                <w:rFonts w:cs="宋体"/>
                <w:b/>
                <w:color w:val="000000"/>
                <w:sz w:val="44"/>
                <w:szCs w:val="44"/>
                <w:lang w:bidi="ar"/>
              </w:rPr>
              <w:t>国有资本经营预算财政拨款支出决算表</w:t>
            </w:r>
          </w:p>
        </w:tc>
      </w:tr>
      <w:tr>
        <w:tblPrEx>
          <w:tblCellMar>
            <w:top w:w="0" w:type="dxa"/>
            <w:left w:w="0" w:type="dxa"/>
            <w:bottom w:w="0" w:type="dxa"/>
            <w:right w:w="0" w:type="dxa"/>
          </w:tblCellMar>
        </w:tblPrEx>
        <w:trPr>
          <w:trHeight w:val="332" w:hRule="atLeast"/>
        </w:trPr>
        <w:tc>
          <w:tcPr>
            <w:tcW w:w="7149" w:type="dxa"/>
            <w:gridSpan w:val="2"/>
            <w:vMerge w:val="restart"/>
            <w:tcBorders>
              <w:top w:val="nil"/>
              <w:left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r>
              <w:rPr>
                <w:rFonts w:asciiTheme="minorEastAsia" w:hAnsiTheme="minorEastAsia" w:eastAsiaTheme="minorEastAsia" w:cstheme="minorEastAsia"/>
              </w:rPr>
              <w:t>公开单位</w:t>
            </w:r>
            <w:r>
              <w:rPr>
                <w:rFonts w:asciiTheme="minorEastAsia" w:hAnsiTheme="minorEastAsia" w:eastAsiaTheme="minorEastAsia" w:cstheme="minorEastAsia"/>
                <w:color w:val="000000"/>
                <w:lang w:bidi="ar"/>
              </w:rPr>
              <w:t xml:space="preserve">： </w:t>
            </w:r>
            <w:r>
              <w:rPr>
                <w:color w:val="000000"/>
                <w:u w:color="auto"/>
              </w:rPr>
              <w:t>重庆市长寿区城市管理综合行政执法支队</w:t>
            </w:r>
          </w:p>
        </w:tc>
        <w:tc>
          <w:tcPr>
            <w:tcW w:w="4736"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5423"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4912"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rPr>
            </w:pPr>
            <w:r>
              <w:rPr>
                <w:rFonts w:cs="宋体"/>
                <w:color w:val="000000"/>
                <w:lang w:bidi="ar"/>
              </w:rPr>
              <w:t>公开08表</w:t>
            </w:r>
          </w:p>
        </w:tc>
      </w:tr>
      <w:tr>
        <w:tblPrEx>
          <w:tblCellMar>
            <w:top w:w="0" w:type="dxa"/>
            <w:left w:w="0" w:type="dxa"/>
            <w:bottom w:w="0" w:type="dxa"/>
            <w:right w:w="0" w:type="dxa"/>
          </w:tblCellMar>
        </w:tblPrEx>
        <w:trPr>
          <w:trHeight w:val="332" w:hRule="atLeast"/>
        </w:trPr>
        <w:tc>
          <w:tcPr>
            <w:tcW w:w="7149" w:type="dxa"/>
            <w:gridSpan w:val="2"/>
            <w:vMerge w:val="continue"/>
            <w:tcBorders>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4736"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5423"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4912"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rPr>
            </w:pPr>
            <w:r>
              <w:rPr>
                <w:rFonts w:cs="宋体"/>
                <w:color w:val="000000"/>
                <w:lang w:bidi="ar"/>
              </w:rPr>
              <w:t>单位：</w:t>
            </w:r>
            <w:r>
              <w:rPr>
                <w:rFonts w:cs="宋体"/>
              </w:rPr>
              <w:t>万元</w:t>
            </w:r>
          </w:p>
        </w:tc>
      </w:tr>
      <w:tr>
        <w:tblPrEx>
          <w:tblCellMar>
            <w:top w:w="0" w:type="dxa"/>
            <w:left w:w="0" w:type="dxa"/>
            <w:bottom w:w="0" w:type="dxa"/>
            <w:right w:w="0" w:type="dxa"/>
          </w:tblCellMar>
        </w:tblPrEx>
        <w:trPr>
          <w:trHeight w:val="422" w:hRule="atLeast"/>
        </w:trPr>
        <w:tc>
          <w:tcPr>
            <w:tcW w:w="7149"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2"/>
                <w:szCs w:val="22"/>
              </w:rPr>
            </w:pPr>
            <w:r>
              <w:rPr>
                <w:rFonts w:cs="宋体"/>
                <w:b/>
                <w:color w:val="000000"/>
                <w:sz w:val="22"/>
                <w:szCs w:val="22"/>
                <w:lang w:bidi="ar"/>
              </w:rPr>
              <w:t>项目</w:t>
            </w:r>
          </w:p>
        </w:tc>
        <w:tc>
          <w:tcPr>
            <w:tcW w:w="15071" w:type="dxa"/>
            <w:gridSpan w:val="3"/>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2"/>
                <w:szCs w:val="22"/>
              </w:rPr>
            </w:pPr>
            <w:r>
              <w:rPr>
                <w:rFonts w:cs="宋体"/>
                <w:b/>
                <w:color w:val="000000"/>
                <w:sz w:val="22"/>
                <w:szCs w:val="22"/>
                <w:lang w:bidi="ar"/>
              </w:rPr>
              <w:t>本年支出</w:t>
            </w:r>
          </w:p>
        </w:tc>
      </w:tr>
      <w:tr>
        <w:tblPrEx>
          <w:tblCellMar>
            <w:top w:w="0" w:type="dxa"/>
            <w:left w:w="0" w:type="dxa"/>
            <w:bottom w:w="0" w:type="dxa"/>
            <w:right w:w="0" w:type="dxa"/>
          </w:tblCellMar>
        </w:tblPrEx>
        <w:trPr>
          <w:trHeight w:val="339" w:hRule="atLeast"/>
        </w:trPr>
        <w:tc>
          <w:tcPr>
            <w:tcW w:w="2729"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功能分类科目编码</w:t>
            </w:r>
          </w:p>
        </w:tc>
        <w:tc>
          <w:tcPr>
            <w:tcW w:w="442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科目名称</w:t>
            </w:r>
          </w:p>
        </w:tc>
        <w:tc>
          <w:tcPr>
            <w:tcW w:w="4736"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合计</w:t>
            </w:r>
          </w:p>
        </w:tc>
        <w:tc>
          <w:tcPr>
            <w:tcW w:w="542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基本支出</w:t>
            </w:r>
          </w:p>
        </w:tc>
        <w:tc>
          <w:tcPr>
            <w:tcW w:w="4912"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项目支出</w:t>
            </w:r>
          </w:p>
        </w:tc>
      </w:tr>
      <w:tr>
        <w:tblPrEx>
          <w:tblCellMar>
            <w:top w:w="0" w:type="dxa"/>
            <w:left w:w="0" w:type="dxa"/>
            <w:bottom w:w="0" w:type="dxa"/>
            <w:right w:w="0" w:type="dxa"/>
          </w:tblCellMar>
        </w:tblPrEx>
        <w:trPr>
          <w:trHeight w:val="339" w:hRule="atLeast"/>
        </w:trPr>
        <w:tc>
          <w:tcPr>
            <w:tcW w:w="272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442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473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542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491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r>
      <w:tr>
        <w:tblPrEx>
          <w:tblCellMar>
            <w:top w:w="0" w:type="dxa"/>
            <w:left w:w="0" w:type="dxa"/>
            <w:bottom w:w="0" w:type="dxa"/>
            <w:right w:w="0" w:type="dxa"/>
          </w:tblCellMar>
        </w:tblPrEx>
        <w:trPr>
          <w:trHeight w:val="339" w:hRule="atLeast"/>
        </w:trPr>
        <w:tc>
          <w:tcPr>
            <w:tcW w:w="272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442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473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542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491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r>
      <w:tr>
        <w:tblPrEx>
          <w:tblCellMar>
            <w:top w:w="0" w:type="dxa"/>
            <w:left w:w="0" w:type="dxa"/>
            <w:bottom w:w="0" w:type="dxa"/>
            <w:right w:w="0" w:type="dxa"/>
          </w:tblCellMar>
        </w:tblPrEx>
        <w:trPr>
          <w:trHeight w:val="312" w:hRule="atLeast"/>
        </w:trPr>
        <w:tc>
          <w:tcPr>
            <w:tcW w:w="272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442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473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542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491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r>
      <w:tr>
        <w:tblPrEx>
          <w:tblCellMar>
            <w:top w:w="0" w:type="dxa"/>
            <w:left w:w="0" w:type="dxa"/>
            <w:bottom w:w="0" w:type="dxa"/>
            <w:right w:w="0" w:type="dxa"/>
          </w:tblCellMar>
        </w:tblPrEx>
        <w:trPr>
          <w:trHeight w:val="611" w:hRule="atLeast"/>
        </w:trPr>
        <w:tc>
          <w:tcPr>
            <w:tcW w:w="7149"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合计</w:t>
            </w:r>
          </w:p>
        </w:tc>
        <w:tc>
          <w:tcPr>
            <w:tcW w:w="47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 </w:t>
            </w:r>
          </w:p>
        </w:tc>
        <w:tc>
          <w:tcPr>
            <w:tcW w:w="542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b/>
                <w:color w:val="000000"/>
                <w:sz w:val="22"/>
                <w:szCs w:val="22"/>
              </w:rPr>
            </w:pPr>
          </w:p>
        </w:tc>
        <w:tc>
          <w:tcPr>
            <w:tcW w:w="491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 </w:t>
            </w:r>
          </w:p>
        </w:tc>
      </w:tr>
    </w:tbl>
    <w:p>
      <w:pPr>
        <w:rPr>
          <w:rFonts w:hint="default" w:cs="宋体"/>
          <w:sz w:val="21"/>
          <w:szCs w:val="21"/>
          <w:lang w:bidi="ar"/>
        </w:rPr>
      </w:pPr>
      <w:r>
        <w:rPr>
          <w:rFonts w:cs="宋体"/>
          <w:sz w:val="21"/>
          <w:szCs w:val="21"/>
          <w:lang w:bidi="ar"/>
        </w:rPr>
        <w:t>备注：本表反映单位本年度国有资本经营预算财政拨款支出情况。本单位无国有资本经营收支，故本表无数据。</w:t>
      </w:r>
      <w:r>
        <w:rPr>
          <w:rFonts w:cs="宋体"/>
          <w:sz w:val="21"/>
          <w:szCs w:val="21"/>
          <w:lang w:bidi="ar"/>
        </w:rPr>
        <w:br w:type="textWrapping"/>
      </w:r>
      <w:r>
        <w:rPr>
          <w:rFonts w:cs="宋体"/>
          <w:sz w:val="21"/>
          <w:szCs w:val="21"/>
        </w:rPr>
        <w:br w:type="textWrapping"/>
      </w:r>
    </w:p>
    <w:p>
      <w:pPr>
        <w:rPr>
          <w:rFonts w:hint="default" w:cs="宋体"/>
          <w:sz w:val="21"/>
          <w:szCs w:val="21"/>
        </w:rPr>
      </w:pPr>
      <w:r>
        <w:rPr>
          <w:rFonts w:cs="宋体"/>
          <w:sz w:val="21"/>
          <w:szCs w:val="21"/>
        </w:rPr>
        <w:br w:type="page"/>
      </w:r>
    </w:p>
    <w:tbl>
      <w:tblPr>
        <w:tblStyle w:val="6"/>
        <w:tblW w:w="22168" w:type="dxa"/>
        <w:tblInd w:w="0" w:type="dxa"/>
        <w:tblLayout w:type="fixed"/>
        <w:tblCellMar>
          <w:top w:w="0" w:type="dxa"/>
          <w:left w:w="0" w:type="dxa"/>
          <w:bottom w:w="0" w:type="dxa"/>
          <w:right w:w="0" w:type="dxa"/>
        </w:tblCellMar>
      </w:tblPr>
      <w:tblGrid>
        <w:gridCol w:w="5159"/>
        <w:gridCol w:w="3822"/>
        <w:gridCol w:w="3281"/>
        <w:gridCol w:w="6581"/>
        <w:gridCol w:w="3325"/>
      </w:tblGrid>
      <w:tr>
        <w:tblPrEx>
          <w:tblCellMar>
            <w:top w:w="0" w:type="dxa"/>
            <w:left w:w="0" w:type="dxa"/>
            <w:bottom w:w="0" w:type="dxa"/>
            <w:right w:w="0" w:type="dxa"/>
          </w:tblCellMar>
        </w:tblPrEx>
        <w:trPr>
          <w:trHeight w:val="510" w:hRule="atLeast"/>
        </w:trPr>
        <w:tc>
          <w:tcPr>
            <w:tcW w:w="22168" w:type="dxa"/>
            <w:gridSpan w:val="5"/>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40"/>
                <w:szCs w:val="40"/>
              </w:rPr>
            </w:pPr>
            <w:r>
              <w:rPr>
                <w:rFonts w:cs="宋体"/>
                <w:b/>
                <w:color w:val="000000"/>
                <w:sz w:val="44"/>
                <w:szCs w:val="44"/>
                <w:lang w:bidi="ar"/>
              </w:rPr>
              <w:t>机构运行信息表</w:t>
            </w:r>
          </w:p>
        </w:tc>
      </w:tr>
      <w:tr>
        <w:tblPrEx>
          <w:tblCellMar>
            <w:top w:w="0" w:type="dxa"/>
            <w:left w:w="0" w:type="dxa"/>
            <w:bottom w:w="0" w:type="dxa"/>
            <w:right w:w="0" w:type="dxa"/>
          </w:tblCellMar>
        </w:tblPrEx>
        <w:trPr>
          <w:trHeight w:val="255" w:hRule="atLeast"/>
        </w:trPr>
        <w:tc>
          <w:tcPr>
            <w:tcW w:w="5159"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3822" w:type="dxa"/>
            <w:tcBorders>
              <w:top w:val="nil"/>
              <w:left w:val="nil"/>
              <w:bottom w:val="nil"/>
              <w:right w:val="nil"/>
            </w:tcBorders>
            <w:shd w:val="clear" w:color="auto" w:fill="auto"/>
            <w:noWrap/>
            <w:tcMar>
              <w:top w:w="15" w:type="dxa"/>
              <w:left w:w="15" w:type="dxa"/>
              <w:right w:w="15" w:type="dxa"/>
            </w:tcMar>
            <w:vAlign w:val="bottom"/>
          </w:tcPr>
          <w:p>
            <w:pPr>
              <w:jc w:val="center"/>
              <w:rPr>
                <w:rFonts w:hint="default" w:ascii="Arial" w:hAnsi="Arial" w:cs="Arial"/>
                <w:color w:val="000000"/>
                <w:sz w:val="20"/>
                <w:szCs w:val="20"/>
              </w:rPr>
            </w:pPr>
          </w:p>
        </w:tc>
        <w:tc>
          <w:tcPr>
            <w:tcW w:w="3281" w:type="dxa"/>
            <w:tcBorders>
              <w:top w:val="nil"/>
              <w:left w:val="nil"/>
              <w:bottom w:val="nil"/>
              <w:right w:val="nil"/>
            </w:tcBorders>
            <w:shd w:val="clear" w:color="auto" w:fill="auto"/>
            <w:noWrap/>
            <w:tcMar>
              <w:top w:w="15" w:type="dxa"/>
              <w:left w:w="15" w:type="dxa"/>
              <w:right w:w="15" w:type="dxa"/>
            </w:tcMar>
            <w:vAlign w:val="bottom"/>
          </w:tcPr>
          <w:p>
            <w:pPr>
              <w:jc w:val="right"/>
              <w:rPr>
                <w:rFonts w:hint="default" w:ascii="Arial" w:hAnsi="Arial" w:cs="Arial"/>
                <w:color w:val="000000"/>
                <w:sz w:val="20"/>
                <w:szCs w:val="20"/>
              </w:rPr>
            </w:pPr>
          </w:p>
        </w:tc>
        <w:tc>
          <w:tcPr>
            <w:tcW w:w="6581"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3325"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rPr>
            </w:pPr>
            <w:r>
              <w:rPr>
                <w:rFonts w:cs="宋体"/>
                <w:color w:val="000000"/>
                <w:lang w:bidi="ar"/>
              </w:rPr>
              <w:t>公开09表</w:t>
            </w:r>
          </w:p>
        </w:tc>
      </w:tr>
      <w:tr>
        <w:tblPrEx>
          <w:tblCellMar>
            <w:top w:w="0" w:type="dxa"/>
            <w:left w:w="0" w:type="dxa"/>
            <w:bottom w:w="0" w:type="dxa"/>
            <w:right w:w="0" w:type="dxa"/>
          </w:tblCellMar>
        </w:tblPrEx>
        <w:trPr>
          <w:trHeight w:val="285" w:hRule="atLeast"/>
        </w:trPr>
        <w:tc>
          <w:tcPr>
            <w:tcW w:w="5159" w:type="dxa"/>
            <w:tcBorders>
              <w:top w:val="nil"/>
              <w:left w:val="nil"/>
              <w:bottom w:val="nil"/>
              <w:right w:val="nil"/>
            </w:tcBorders>
            <w:shd w:val="clear" w:color="auto" w:fill="auto"/>
            <w:noWrap/>
            <w:tcMar>
              <w:top w:w="15" w:type="dxa"/>
              <w:left w:w="15" w:type="dxa"/>
              <w:right w:w="15" w:type="dxa"/>
            </w:tcMar>
            <w:vAlign w:val="bottom"/>
          </w:tcPr>
          <w:p>
            <w:pPr>
              <w:textAlignment w:val="bottom"/>
              <w:rPr>
                <w:rFonts w:hint="default" w:ascii="Arial" w:hAnsi="Arial" w:cs="Arial"/>
                <w:color w:val="000000"/>
                <w:sz w:val="22"/>
                <w:szCs w:val="22"/>
              </w:rPr>
            </w:pPr>
            <w:r>
              <w:rPr>
                <w:rFonts w:asciiTheme="minorEastAsia" w:hAnsiTheme="minorEastAsia" w:eastAsiaTheme="minorEastAsia" w:cstheme="minorEastAsia"/>
              </w:rPr>
              <w:t>公开单位</w:t>
            </w:r>
            <w:r>
              <w:rPr>
                <w:rFonts w:asciiTheme="minorEastAsia" w:hAnsiTheme="minorEastAsia" w:eastAsiaTheme="minorEastAsia" w:cstheme="minorEastAsia"/>
                <w:color w:val="000000"/>
                <w:lang w:bidi="ar"/>
              </w:rPr>
              <w:t xml:space="preserve">： </w:t>
            </w:r>
            <w:r>
              <w:rPr>
                <w:color w:val="000000"/>
                <w:u w:color="auto"/>
              </w:rPr>
              <w:t>重庆市长寿区城市管理综合行政执法支队</w:t>
            </w:r>
          </w:p>
        </w:tc>
        <w:tc>
          <w:tcPr>
            <w:tcW w:w="3822" w:type="dxa"/>
            <w:tcBorders>
              <w:top w:val="nil"/>
              <w:left w:val="nil"/>
              <w:bottom w:val="nil"/>
              <w:right w:val="nil"/>
            </w:tcBorders>
            <w:shd w:val="clear" w:color="auto" w:fill="auto"/>
            <w:noWrap/>
            <w:tcMar>
              <w:top w:w="15" w:type="dxa"/>
              <w:left w:w="15" w:type="dxa"/>
              <w:right w:w="15" w:type="dxa"/>
            </w:tcMar>
            <w:vAlign w:val="bottom"/>
          </w:tcPr>
          <w:p>
            <w:pPr>
              <w:jc w:val="center"/>
              <w:rPr>
                <w:rFonts w:hint="default" w:cs="宋体"/>
                <w:color w:val="000000"/>
                <w:sz w:val="22"/>
                <w:szCs w:val="22"/>
              </w:rPr>
            </w:pPr>
          </w:p>
        </w:tc>
        <w:tc>
          <w:tcPr>
            <w:tcW w:w="3281" w:type="dxa"/>
            <w:tcBorders>
              <w:top w:val="nil"/>
              <w:left w:val="nil"/>
              <w:bottom w:val="nil"/>
              <w:right w:val="nil"/>
            </w:tcBorders>
            <w:shd w:val="clear" w:color="auto" w:fill="auto"/>
            <w:noWrap/>
            <w:tcMar>
              <w:top w:w="15" w:type="dxa"/>
              <w:left w:w="15" w:type="dxa"/>
              <w:right w:w="15" w:type="dxa"/>
            </w:tcMar>
            <w:vAlign w:val="bottom"/>
          </w:tcPr>
          <w:p>
            <w:pPr>
              <w:jc w:val="right"/>
              <w:rPr>
                <w:rFonts w:hint="default" w:ascii="Arial" w:hAnsi="Arial" w:cs="Arial"/>
                <w:color w:val="000000"/>
                <w:sz w:val="22"/>
                <w:szCs w:val="22"/>
              </w:rPr>
            </w:pPr>
          </w:p>
        </w:tc>
        <w:tc>
          <w:tcPr>
            <w:tcW w:w="6581"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3325"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rPr>
            </w:pPr>
            <w:r>
              <w:rPr>
                <w:rFonts w:cs="宋体"/>
                <w:color w:val="000000"/>
                <w:lang w:bidi="ar"/>
              </w:rPr>
              <w:t>单位：</w:t>
            </w:r>
            <w:r>
              <w:rPr>
                <w:rFonts w:cs="宋体"/>
              </w:rPr>
              <w:t>万元</w:t>
            </w:r>
          </w:p>
        </w:tc>
      </w:tr>
      <w:tr>
        <w:tblPrEx>
          <w:tblCellMar>
            <w:top w:w="0" w:type="dxa"/>
            <w:left w:w="0" w:type="dxa"/>
            <w:bottom w:w="0" w:type="dxa"/>
            <w:right w:w="0" w:type="dxa"/>
          </w:tblCellMar>
        </w:tblPrEx>
        <w:trPr>
          <w:trHeight w:val="308" w:hRule="atLeast"/>
        </w:trPr>
        <w:tc>
          <w:tcPr>
            <w:tcW w:w="5159" w:type="dxa"/>
            <w:tcBorders>
              <w:top w:val="single" w:color="000000" w:sz="4" w:space="0"/>
              <w:left w:val="single" w:color="000000" w:sz="4" w:space="0"/>
              <w:bottom w:val="single" w:color="000000" w:sz="4" w:space="0"/>
              <w:right w:val="nil"/>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项  目</w:t>
            </w:r>
          </w:p>
        </w:tc>
        <w:tc>
          <w:tcPr>
            <w:tcW w:w="38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预算数</w:t>
            </w:r>
          </w:p>
        </w:tc>
        <w:tc>
          <w:tcPr>
            <w:tcW w:w="3281" w:type="dxa"/>
            <w:tcBorders>
              <w:top w:val="single" w:color="000000" w:sz="4" w:space="0"/>
              <w:left w:val="nil"/>
              <w:bottom w:val="nil"/>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决算数</w:t>
            </w:r>
          </w:p>
        </w:tc>
        <w:tc>
          <w:tcPr>
            <w:tcW w:w="6581" w:type="dxa"/>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项  目</w:t>
            </w:r>
          </w:p>
        </w:tc>
        <w:tc>
          <w:tcPr>
            <w:tcW w:w="3325" w:type="dxa"/>
            <w:tcBorders>
              <w:top w:val="single" w:color="000000" w:sz="4" w:space="0"/>
              <w:left w:val="nil"/>
              <w:bottom w:val="nil"/>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决算数</w:t>
            </w:r>
          </w:p>
        </w:tc>
      </w:tr>
      <w:tr>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一、“三公”经费支出</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hint="default" w:cs="宋体"/>
                <w:color w:val="000000"/>
                <w:sz w:val="22"/>
                <w:szCs w:val="22"/>
              </w:rPr>
            </w:pPr>
            <w:r>
              <w:rPr>
                <w:rFonts w:cs="宋体"/>
                <w:color w:val="000000"/>
                <w:sz w:val="22"/>
                <w:szCs w:val="22"/>
                <w:lang w:bidi="ar"/>
              </w:rPr>
              <w:t>—</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四、机关运行经费</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264.47 </w:t>
            </w:r>
          </w:p>
        </w:tc>
      </w:tr>
      <w:tr>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（一）支出合计</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27.71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27.71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（一）行政单位</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1．因公出国（境）费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（二）参照公务员法管理事业单位</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264.47 </w:t>
            </w:r>
          </w:p>
        </w:tc>
      </w:tr>
      <w:tr>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2．公务用车购置及运行维护费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27.51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27.51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五、资产信息</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hint="default" w:cs="宋体"/>
                <w:color w:val="000000"/>
                <w:sz w:val="22"/>
                <w:szCs w:val="22"/>
              </w:rPr>
            </w:pPr>
            <w:r>
              <w:rPr>
                <w:rFonts w:cs="宋体"/>
                <w:color w:val="000000"/>
                <w:sz w:val="22"/>
                <w:szCs w:val="22"/>
                <w:lang w:bidi="ar"/>
              </w:rPr>
              <w:t>—</w:t>
            </w:r>
          </w:p>
        </w:tc>
      </w:tr>
      <w:tr>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（1）公务用车购置费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（一）车辆数合计（辆）</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11 </w:t>
            </w:r>
          </w:p>
        </w:tc>
      </w:tr>
      <w:tr>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（2）公务用车运行维护费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27.51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27.51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1．副部（省）级及以上领导用车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3．公务接待费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0.20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0.20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2．主要领导干部用车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（1）国内接待费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0.20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3．机要通信用车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其中：外事接待费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4．应急保障用车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11 </w:t>
            </w:r>
          </w:p>
        </w:tc>
      </w:tr>
      <w:tr>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（2）国（境）外接待费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5．执法执勤用车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（二）相关统计数</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hint="default" w:cs="宋体"/>
                <w:color w:val="000000"/>
                <w:sz w:val="22"/>
                <w:szCs w:val="22"/>
              </w:rPr>
            </w:pPr>
            <w:r>
              <w:rPr>
                <w:rFonts w:cs="宋体"/>
                <w:color w:val="000000"/>
                <w:sz w:val="22"/>
                <w:szCs w:val="22"/>
                <w:lang w:bidi="ar"/>
              </w:rPr>
              <w:t>—</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6．特种专业技术用车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1．因公出国（境）团组数（个）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7．离退休干部用车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2．因公出国（境）人次数（人）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8．其他用车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3．公务用车购置数（辆）</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（二）单价100万元（含）以上设备（不含车辆）</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4．公务用车保有量（辆）</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11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六、政府采购支出信息</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hint="default" w:cs="宋体"/>
                <w:color w:val="000000"/>
                <w:sz w:val="22"/>
                <w:szCs w:val="22"/>
              </w:rPr>
            </w:pPr>
            <w:r>
              <w:rPr>
                <w:rFonts w:cs="宋体"/>
                <w:color w:val="000000"/>
                <w:sz w:val="22"/>
                <w:szCs w:val="22"/>
                <w:lang w:bidi="ar"/>
              </w:rPr>
              <w:t>—</w:t>
            </w:r>
          </w:p>
        </w:tc>
      </w:tr>
      <w:tr>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5．国内公务接待批次（个）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5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（一）政府采购支出合计</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其中：外事接待批次（个）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1．政府采购货物支出</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6．国内公务接待人次（人）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43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2．政府采购工程支出</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其中：外事接待人次（人）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3．政府采购服务支出</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7．国（境）外公务接待批次（个）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（二）政府采购授予中小企业合同金额</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8．国（境）外公务接待人次（人）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其中：授予小微企业合同金额</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二、会议费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0.66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right"/>
              <w:rPr>
                <w:rFonts w:hint="default" w:ascii="Arial" w:hAnsi="Arial" w:cs="Arial"/>
                <w:color w:val="000000"/>
                <w:sz w:val="20"/>
                <w:szCs w:val="20"/>
              </w:rPr>
            </w:pPr>
          </w:p>
        </w:tc>
      </w:tr>
      <w:tr>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三、培训费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5.11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right"/>
              <w:rPr>
                <w:rFonts w:hint="default" w:ascii="Arial" w:hAnsi="Arial" w:cs="Arial"/>
                <w:color w:val="000000"/>
                <w:sz w:val="20"/>
                <w:szCs w:val="20"/>
              </w:rPr>
            </w:pPr>
          </w:p>
        </w:tc>
      </w:tr>
    </w:tbl>
    <w:p>
      <w:pPr>
        <w:rPr>
          <w:rFonts w:hint="default" w:cs="宋体"/>
          <w:sz w:val="21"/>
          <w:szCs w:val="21"/>
        </w:rPr>
      </w:pPr>
      <w:r>
        <w:rPr>
          <w:rFonts w:cs="宋体"/>
          <w:sz w:val="21"/>
          <w:szCs w:val="21"/>
          <w:lang w:bidi="ar"/>
        </w:rPr>
        <w:t>备注：1.本表反映单位本年度财政拨款“三公”经费支出预决算情况。其中，预算数为“三公”经费全年预算数，反映按规定程序调整后的预算数；决算数为包括本年度财政拨款和以前年度结转资金安排的实际支出。</w:t>
      </w:r>
      <w:r>
        <w:rPr>
          <w:rFonts w:cs="宋体"/>
          <w:sz w:val="21"/>
          <w:szCs w:val="21"/>
          <w:lang w:bidi="ar"/>
        </w:rPr>
        <w:br w:type="textWrapping"/>
      </w:r>
      <w:r>
        <w:rPr>
          <w:rFonts w:cs="宋体"/>
          <w:sz w:val="21"/>
          <w:szCs w:val="21"/>
          <w:lang w:bidi="ar"/>
        </w:rPr>
        <w:t xml:space="preserve">      2.本套报表金额单位转换时可能存在尾数误差。</w:t>
      </w:r>
      <w:r>
        <w:rPr>
          <w:rFonts w:cs="宋体"/>
          <w:sz w:val="21"/>
          <w:szCs w:val="21"/>
          <w:lang w:bidi="ar"/>
        </w:rPr>
        <w:br w:type="textWrapping"/>
      </w:r>
      <w:r>
        <w:rPr>
          <w:rFonts w:cs="宋体"/>
          <w:sz w:val="21"/>
          <w:szCs w:val="21"/>
        </w:rPr>
        <w:br w:type="textWrapping"/>
      </w:r>
    </w:p>
    <w:p>
      <w:pPr>
        <w:rPr>
          <w:rFonts w:hint="default" w:cs="宋体"/>
          <w:color w:val="000000"/>
          <w:sz w:val="21"/>
          <w:szCs w:val="21"/>
          <w:lang w:bidi="ar"/>
        </w:rPr>
      </w:pPr>
    </w:p>
    <w:p>
      <w:pPr>
        <w:rPr>
          <w:rFonts w:hint="default" w:cs="宋体"/>
          <w:color w:val="000000"/>
          <w:sz w:val="21"/>
          <w:szCs w:val="21"/>
          <w:lang w:bidi="ar"/>
        </w:rPr>
      </w:pPr>
    </w:p>
    <w:p>
      <w:pPr>
        <w:rPr>
          <w:rFonts w:hint="default" w:cs="宋体"/>
          <w:color w:val="000000"/>
          <w:sz w:val="21"/>
          <w:szCs w:val="21"/>
          <w:lang w:bidi="ar"/>
        </w:rPr>
      </w:pPr>
    </w:p>
    <w:p>
      <w:pPr>
        <w:rPr>
          <w:rFonts w:hint="default" w:cs="宋体"/>
          <w:color w:val="000000"/>
          <w:sz w:val="21"/>
          <w:szCs w:val="21"/>
          <w:lang w:bidi="ar"/>
        </w:rPr>
      </w:pPr>
    </w:p>
    <w:p>
      <w:pPr>
        <w:rPr>
          <w:rFonts w:hint="default" w:cs="宋体"/>
          <w:color w:val="000000"/>
          <w:sz w:val="21"/>
          <w:szCs w:val="21"/>
          <w:lang w:bidi="ar"/>
        </w:rPr>
      </w:pPr>
    </w:p>
    <w:p>
      <w:pPr>
        <w:rPr>
          <w:rFonts w:hint="default" w:cs="宋体"/>
          <w:color w:val="000000"/>
          <w:sz w:val="21"/>
          <w:szCs w:val="21"/>
          <w:lang w:bidi="ar"/>
        </w:rPr>
      </w:pPr>
    </w:p>
    <w:p>
      <w:pPr>
        <w:rPr>
          <w:rFonts w:hint="default" w:cs="宋体"/>
          <w:color w:val="000000"/>
          <w:sz w:val="21"/>
          <w:szCs w:val="21"/>
          <w:lang w:bidi="ar"/>
        </w:rPr>
      </w:pPr>
    </w:p>
    <w:p>
      <w:pPr>
        <w:rPr>
          <w:rFonts w:hint="default" w:cs="宋体"/>
          <w:color w:val="000000"/>
          <w:sz w:val="21"/>
          <w:szCs w:val="21"/>
          <w:lang w:bidi="ar"/>
        </w:rPr>
      </w:pPr>
    </w:p>
    <w:p>
      <w:pPr>
        <w:rPr>
          <w:rFonts w:hint="default" w:cs="宋体"/>
          <w:color w:val="000000"/>
          <w:sz w:val="21"/>
          <w:szCs w:val="21"/>
          <w:lang w:bidi="ar"/>
        </w:rPr>
      </w:pPr>
    </w:p>
    <w:p>
      <w:pPr>
        <w:pStyle w:val="10"/>
        <w:autoSpaceDE w:val="0"/>
        <w:ind w:firstLine="0" w:firstLineChars="0"/>
        <w:rPr>
          <w:rFonts w:cs="宋体"/>
          <w:sz w:val="21"/>
          <w:szCs w:val="21"/>
        </w:rPr>
      </w:pPr>
    </w:p>
    <w:sectPr>
      <w:headerReference r:id="rId4" w:type="default"/>
      <w:footerReference r:id="rId5" w:type="default"/>
      <w:pgSz w:w="23811" w:h="16838" w:orient="landscape"/>
      <w:pgMar w:top="567" w:right="454" w:bottom="567" w:left="1037" w:header="0" w:footer="283"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方正黑体_GBK">
    <w:altName w:val="Arial Unicode MS"/>
    <w:panose1 w:val="03000509000000000000"/>
    <w:charset w:val="86"/>
    <w:family w:val="auto"/>
    <w:pitch w:val="default"/>
    <w:sig w:usb0="00000000" w:usb1="00000000" w:usb2="00000000" w:usb3="00000000" w:csb0="00040000" w:csb1="00000000"/>
  </w:font>
  <w:font w:name="方正楷体_GBK">
    <w:altName w:val="Arial Unicode MS"/>
    <w:panose1 w:val="03000509000000000000"/>
    <w:charset w:val="86"/>
    <w:family w:val="auto"/>
    <w:pitch w:val="default"/>
    <w:sig w:usb0="00000000" w:usb1="00000000" w:usb2="00000000" w:usb3="00000000" w:csb0="00040000" w:csb1="00000000"/>
  </w:font>
  <w:font w:name="方正仿宋_GBK">
    <w:altName w:val="Arial Unicode MS"/>
    <w:panose1 w:val="03000509000000000000"/>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default"/>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default"/>
                            </w:rPr>
                          </w:pPr>
                          <w:r>
                            <w:fldChar w:fldCharType="begin"/>
                          </w:r>
                          <w:r>
                            <w:instrText xml:space="preserve"> PAGE  \* MERGEFORMAT </w:instrText>
                          </w:r>
                          <w:r>
                            <w:fldChar w:fldCharType="separate"/>
                          </w:r>
                          <w:r>
                            <w:rPr>
                              <w:rFonts w:hint="default"/>
                            </w:rPr>
                            <w:t>- 21 -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2"/>
                      <w:rPr>
                        <w:rFonts w:hint="default"/>
                      </w:rPr>
                    </w:pPr>
                    <w:r>
                      <w:fldChar w:fldCharType="begin"/>
                    </w:r>
                    <w:r>
                      <w:instrText xml:space="preserve"> PAGE  \* MERGEFORMAT </w:instrText>
                    </w:r>
                    <w:r>
                      <w:fldChar w:fldCharType="separate"/>
                    </w:r>
                    <w:r>
                      <w:rPr>
                        <w:rFonts w:hint="default"/>
                      </w:rPr>
                      <w:t>- 21 -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both"/>
      <w:rPr>
        <w:rFonts w:hint="default"/>
      </w:rPr>
    </w:pPr>
    <w:r>
      <mc:AlternateContent>
        <mc:Choice Requires="wps">
          <w:drawing>
            <wp:anchor distT="0" distB="0" distL="114300" distR="114300" simplePos="0" relativeHeight="251660288" behindDoc="0" locked="0" layoutInCell="1" allowOverlap="0">
              <wp:simplePos x="0" y="0"/>
              <wp:positionH relativeFrom="margin">
                <wp:align>center</wp:align>
              </wp:positionH>
              <wp:positionV relativeFrom="paragraph">
                <wp:posOffset>0</wp:posOffset>
              </wp:positionV>
              <wp:extent cx="1828800" cy="1828800"/>
              <wp:effectExtent l="0" t="0" r="0" b="0"/>
              <wp:wrapNone/>
              <wp:docPr id="127" name="文本框 1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33 -</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allowoverlap="f"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OYorozAgAAZw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OYorozAgAAZwQAAA4AAAAAAAAAAQAgAAAAHwEAAGRycy9lMm9Eb2MueG1sUEsF&#10;BgAAAAAGAAYAWQEAAMQFAAAAAA==&#10;">
              <v:fill on="f" focussize="0,0"/>
              <v:stroke on="f" weight="0.5pt"/>
              <v:imagedata o:title=""/>
              <o:lock v:ext="edit" aspectratio="f"/>
              <v:textbox inset="0mm,0mm,0mm,0mm" style="mso-fit-shape-to-text:t;">
                <w:txbxContent>
                  <w:p>
                    <w:pPr>
                      <w:pStyle w:val="2"/>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33 -</w:t>
                    </w:r>
                    <w:r>
                      <w:fldChar w:fldCharType="end"/>
                    </w:r>
                    <w:r>
                      <w:t xml:space="preserve"> </w:t>
                    </w:r>
                  </w:p>
                </w:txbxContent>
              </v:textbox>
            </v:shape>
          </w:pict>
        </mc:Fallback>
      </mc:AlternateContent>
    </w:r>
    <w:r>
      <mc:AlternateContent>
        <mc:Choice Requires="wps">
          <w:drawing>
            <wp:anchor distT="0" distB="0" distL="114300" distR="114300" simplePos="0" relativeHeight="251659264" behindDoc="0" locked="0" layoutInCell="1" allowOverlap="0">
              <wp:simplePos x="0" y="0"/>
              <wp:positionH relativeFrom="margin">
                <wp:align>center</wp:align>
              </wp:positionH>
              <wp:positionV relativeFrom="page">
                <wp:posOffset>14737080</wp:posOffset>
              </wp:positionV>
              <wp:extent cx="1828800" cy="220980"/>
              <wp:effectExtent l="0" t="0" r="0" b="0"/>
              <wp:wrapNone/>
              <wp:docPr id="126" name="文本框 126"/>
              <wp:cNvGraphicFramePr/>
              <a:graphic xmlns:a="http://schemas.openxmlformats.org/drawingml/2006/main">
                <a:graphicData uri="http://schemas.microsoft.com/office/word/2010/wordprocessingShape">
                  <wps:wsp>
                    <wps:cNvSpPr txBox="1"/>
                    <wps:spPr>
                      <a:xfrm>
                        <a:off x="0" y="0"/>
                        <a:ext cx="1828800" cy="220980"/>
                      </a:xfrm>
                      <a:prstGeom prst="rect">
                        <a:avLst/>
                      </a:prstGeom>
                      <a:noFill/>
                      <a:ln w="6350">
                        <a:noFill/>
                      </a:ln>
                      <a:effectLst/>
                    </wps:spPr>
                    <wps:txbx>
                      <w:txbxContent>
                        <w:p>
                          <w:pPr>
                            <w:pStyle w:val="2"/>
                            <w:jc w:val="both"/>
                            <w:rPr>
                              <w:rFonts w:hint="default" w:cs="宋体"/>
                            </w:rPr>
                          </w:pPr>
                          <w:r>
                            <w:rPr>
                              <w:rFonts w:cs="宋体"/>
                            </w:rPr>
                            <w:t>— 27.1 —</w:t>
                          </w:r>
                        </w:p>
                      </w:txbxContent>
                    </wps:txbx>
                    <wps:bodyPr rot="0" spcFirstLastPara="0" vertOverflow="overflow" horzOverflow="overflow" vert="horz" wrap="non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1160.4pt;height:17.4pt;width:144pt;mso-position-horizontal:center;mso-position-horizontal-relative:margin;mso-position-vertical-relative:page;mso-wrap-style:none;z-index:251659264;mso-width-relative:page;mso-height-relative:page;" filled="f" stroked="f" coordsize="21600,21600" o:allowoverlap="f" o:gfxdata="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A1UVNgAAAAKAQAADwAAAAAAAAABACAAAAAiAAAAZHJzL2Rvd25y&#10;ZXYueG1sUEsBAhQAFAAAAAgAh07iQALFEI03AgAAZgQAAA4AAAAAAAAAAQAgAAAAJwEAAGRycy9l&#10;Mm9Eb2MueG1sUEsFBgAAAAAGAAYAWQEAANAFAAAAAA==&#10;">
              <v:fill on="f" focussize="0,0"/>
              <v:stroke on="f" weight="0.5pt"/>
              <v:imagedata o:title=""/>
              <o:lock v:ext="edit" aspectratio="f"/>
              <v:textbox inset="0mm,0mm,0mm,0mm">
                <w:txbxContent>
                  <w:p>
                    <w:pPr>
                      <w:pStyle w:val="2"/>
                      <w:jc w:val="both"/>
                      <w:rPr>
                        <w:rFonts w:hint="default" w:cs="宋体"/>
                      </w:rPr>
                    </w:pPr>
                    <w:r>
                      <w:rPr>
                        <w:rFonts w:cs="宋体"/>
                      </w:rPr>
                      <w:t>— 27.1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1758"/>
        <w:tab w:val="clear" w:pos="4153"/>
        <w:tab w:val="clear" w:pos="8306"/>
      </w:tabs>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2ODViMjk5ZGY3YzE4Y2ZjMjMzZWE0ZTVkNWQyOWQifQ=="/>
  </w:docVars>
  <w:rsids>
    <w:rsidRoot w:val="00B03CCD"/>
    <w:rsid w:val="00550ABE"/>
    <w:rsid w:val="005F0C71"/>
    <w:rsid w:val="007B419D"/>
    <w:rsid w:val="009B67B8"/>
    <w:rsid w:val="00B03CCD"/>
    <w:rsid w:val="00B60C51"/>
    <w:rsid w:val="00C030F4"/>
    <w:rsid w:val="00C6691C"/>
    <w:rsid w:val="00F73F90"/>
    <w:rsid w:val="01474EBF"/>
    <w:rsid w:val="01F3521E"/>
    <w:rsid w:val="03B87EA0"/>
    <w:rsid w:val="03E3214F"/>
    <w:rsid w:val="044C50BA"/>
    <w:rsid w:val="05BC6D49"/>
    <w:rsid w:val="06194FF1"/>
    <w:rsid w:val="06A2550B"/>
    <w:rsid w:val="06F80EE2"/>
    <w:rsid w:val="07001CCA"/>
    <w:rsid w:val="075678DB"/>
    <w:rsid w:val="07573C3C"/>
    <w:rsid w:val="079D7CC7"/>
    <w:rsid w:val="08051BCA"/>
    <w:rsid w:val="086C12F4"/>
    <w:rsid w:val="08705944"/>
    <w:rsid w:val="08BA052C"/>
    <w:rsid w:val="08DB07BA"/>
    <w:rsid w:val="0969353F"/>
    <w:rsid w:val="098305D0"/>
    <w:rsid w:val="0A06045F"/>
    <w:rsid w:val="0A3317EA"/>
    <w:rsid w:val="0A5C4B69"/>
    <w:rsid w:val="0A86124A"/>
    <w:rsid w:val="0AB54CC0"/>
    <w:rsid w:val="0B9335CE"/>
    <w:rsid w:val="0BF2311A"/>
    <w:rsid w:val="0C7927C4"/>
    <w:rsid w:val="0C9B098C"/>
    <w:rsid w:val="0D673E11"/>
    <w:rsid w:val="0DDA54E4"/>
    <w:rsid w:val="0E3A5F83"/>
    <w:rsid w:val="0F836721"/>
    <w:rsid w:val="0FA25D96"/>
    <w:rsid w:val="107B59E5"/>
    <w:rsid w:val="10B15FB0"/>
    <w:rsid w:val="10EC0126"/>
    <w:rsid w:val="10F70B9A"/>
    <w:rsid w:val="111445C7"/>
    <w:rsid w:val="114278C6"/>
    <w:rsid w:val="1158083A"/>
    <w:rsid w:val="11643A4B"/>
    <w:rsid w:val="11ED0F98"/>
    <w:rsid w:val="11F03528"/>
    <w:rsid w:val="12C921C4"/>
    <w:rsid w:val="13871C70"/>
    <w:rsid w:val="13A71CB4"/>
    <w:rsid w:val="13AF1D43"/>
    <w:rsid w:val="13CE1647"/>
    <w:rsid w:val="13FD55AB"/>
    <w:rsid w:val="14200702"/>
    <w:rsid w:val="163A6CEE"/>
    <w:rsid w:val="173708E3"/>
    <w:rsid w:val="17C374FC"/>
    <w:rsid w:val="182E4AB6"/>
    <w:rsid w:val="189079DC"/>
    <w:rsid w:val="189B0D0B"/>
    <w:rsid w:val="18B43F7C"/>
    <w:rsid w:val="194A1770"/>
    <w:rsid w:val="19B906A4"/>
    <w:rsid w:val="1B6F15B6"/>
    <w:rsid w:val="1BAA2EDC"/>
    <w:rsid w:val="1C057BD0"/>
    <w:rsid w:val="1CA55E64"/>
    <w:rsid w:val="1D014A01"/>
    <w:rsid w:val="1D022362"/>
    <w:rsid w:val="1D1B04B0"/>
    <w:rsid w:val="1DA52501"/>
    <w:rsid w:val="1DBD6767"/>
    <w:rsid w:val="1DC52125"/>
    <w:rsid w:val="1DD26311"/>
    <w:rsid w:val="1E374ACB"/>
    <w:rsid w:val="1ECF0A66"/>
    <w:rsid w:val="1EF67CA4"/>
    <w:rsid w:val="1F020D3A"/>
    <w:rsid w:val="1F2C5189"/>
    <w:rsid w:val="1F4B0B02"/>
    <w:rsid w:val="1FBB35CD"/>
    <w:rsid w:val="1FCD26AF"/>
    <w:rsid w:val="20642787"/>
    <w:rsid w:val="21556F04"/>
    <w:rsid w:val="22403BD3"/>
    <w:rsid w:val="24B92327"/>
    <w:rsid w:val="24C14514"/>
    <w:rsid w:val="251D58CE"/>
    <w:rsid w:val="2533755C"/>
    <w:rsid w:val="25791755"/>
    <w:rsid w:val="26396DF4"/>
    <w:rsid w:val="27167136"/>
    <w:rsid w:val="27B23302"/>
    <w:rsid w:val="29310A5F"/>
    <w:rsid w:val="29C37A35"/>
    <w:rsid w:val="2A076083"/>
    <w:rsid w:val="2A73162E"/>
    <w:rsid w:val="2B167953"/>
    <w:rsid w:val="2B200583"/>
    <w:rsid w:val="2B8209DE"/>
    <w:rsid w:val="2C636760"/>
    <w:rsid w:val="2C6762A3"/>
    <w:rsid w:val="2C7D37B3"/>
    <w:rsid w:val="2FCA4B37"/>
    <w:rsid w:val="2FE029D7"/>
    <w:rsid w:val="2FF06E00"/>
    <w:rsid w:val="30586FEC"/>
    <w:rsid w:val="30E25239"/>
    <w:rsid w:val="315F0B22"/>
    <w:rsid w:val="31D84415"/>
    <w:rsid w:val="32285F6F"/>
    <w:rsid w:val="32770556"/>
    <w:rsid w:val="329C0913"/>
    <w:rsid w:val="32AA0460"/>
    <w:rsid w:val="3337290D"/>
    <w:rsid w:val="33D1285C"/>
    <w:rsid w:val="33E31118"/>
    <w:rsid w:val="33EF7674"/>
    <w:rsid w:val="342D7BC6"/>
    <w:rsid w:val="352930DB"/>
    <w:rsid w:val="35573069"/>
    <w:rsid w:val="355F6038"/>
    <w:rsid w:val="358C217E"/>
    <w:rsid w:val="36C9128A"/>
    <w:rsid w:val="37841E99"/>
    <w:rsid w:val="37BF1123"/>
    <w:rsid w:val="383C3F15"/>
    <w:rsid w:val="38BE4696"/>
    <w:rsid w:val="3939115E"/>
    <w:rsid w:val="39B82A39"/>
    <w:rsid w:val="39BE72A8"/>
    <w:rsid w:val="39C42CA8"/>
    <w:rsid w:val="39DC4FD6"/>
    <w:rsid w:val="39F03D7A"/>
    <w:rsid w:val="39F33306"/>
    <w:rsid w:val="3A2C1C67"/>
    <w:rsid w:val="3ADD7F09"/>
    <w:rsid w:val="3B1705E5"/>
    <w:rsid w:val="3B18334B"/>
    <w:rsid w:val="3B36794F"/>
    <w:rsid w:val="3B6F6EE0"/>
    <w:rsid w:val="3C442DF6"/>
    <w:rsid w:val="3C566AD6"/>
    <w:rsid w:val="3C594871"/>
    <w:rsid w:val="3C6A5B02"/>
    <w:rsid w:val="3D2757A1"/>
    <w:rsid w:val="3D3D4FC4"/>
    <w:rsid w:val="3DDF3AB1"/>
    <w:rsid w:val="3E1D0952"/>
    <w:rsid w:val="3E42660A"/>
    <w:rsid w:val="3E7555B1"/>
    <w:rsid w:val="3E787ED9"/>
    <w:rsid w:val="3F032E93"/>
    <w:rsid w:val="3F0527E5"/>
    <w:rsid w:val="3F694D83"/>
    <w:rsid w:val="3F885DCC"/>
    <w:rsid w:val="3FCD675E"/>
    <w:rsid w:val="4004000C"/>
    <w:rsid w:val="411B6CE5"/>
    <w:rsid w:val="412070D7"/>
    <w:rsid w:val="41314E40"/>
    <w:rsid w:val="41E0734B"/>
    <w:rsid w:val="426C1EA8"/>
    <w:rsid w:val="42736402"/>
    <w:rsid w:val="42E86A87"/>
    <w:rsid w:val="43307B09"/>
    <w:rsid w:val="437432BC"/>
    <w:rsid w:val="439A3EB9"/>
    <w:rsid w:val="43BB152F"/>
    <w:rsid w:val="44C37687"/>
    <w:rsid w:val="45CB699A"/>
    <w:rsid w:val="465B470D"/>
    <w:rsid w:val="469D6AD4"/>
    <w:rsid w:val="471E6C84"/>
    <w:rsid w:val="4748792B"/>
    <w:rsid w:val="475D719D"/>
    <w:rsid w:val="47674801"/>
    <w:rsid w:val="47CB5DF9"/>
    <w:rsid w:val="48225EF7"/>
    <w:rsid w:val="488F422B"/>
    <w:rsid w:val="48E36915"/>
    <w:rsid w:val="48EB6572"/>
    <w:rsid w:val="495C4A24"/>
    <w:rsid w:val="497135DF"/>
    <w:rsid w:val="4A263DF2"/>
    <w:rsid w:val="4A6F6675"/>
    <w:rsid w:val="4AA07375"/>
    <w:rsid w:val="4B135857"/>
    <w:rsid w:val="4B7951CB"/>
    <w:rsid w:val="4B7C315C"/>
    <w:rsid w:val="4D5B06A2"/>
    <w:rsid w:val="4DAC4ACA"/>
    <w:rsid w:val="4DBE01D2"/>
    <w:rsid w:val="4F0C6BA3"/>
    <w:rsid w:val="4F186D58"/>
    <w:rsid w:val="50F06B6E"/>
    <w:rsid w:val="51D21804"/>
    <w:rsid w:val="52234D33"/>
    <w:rsid w:val="522F6E0C"/>
    <w:rsid w:val="52463BA1"/>
    <w:rsid w:val="52F163D4"/>
    <w:rsid w:val="531A2DB4"/>
    <w:rsid w:val="53C0244D"/>
    <w:rsid w:val="53DD4D4E"/>
    <w:rsid w:val="53E578CE"/>
    <w:rsid w:val="541330F0"/>
    <w:rsid w:val="54272666"/>
    <w:rsid w:val="542F110E"/>
    <w:rsid w:val="543B029D"/>
    <w:rsid w:val="54861779"/>
    <w:rsid w:val="552256E1"/>
    <w:rsid w:val="554E5773"/>
    <w:rsid w:val="555A3CBC"/>
    <w:rsid w:val="5582012B"/>
    <w:rsid w:val="558E4E05"/>
    <w:rsid w:val="55BE2E85"/>
    <w:rsid w:val="56530F5D"/>
    <w:rsid w:val="567700D3"/>
    <w:rsid w:val="56FF7E9E"/>
    <w:rsid w:val="578867FC"/>
    <w:rsid w:val="5842572D"/>
    <w:rsid w:val="5A3B59D6"/>
    <w:rsid w:val="5AD134D8"/>
    <w:rsid w:val="5C263CE4"/>
    <w:rsid w:val="5C5D2777"/>
    <w:rsid w:val="5C745BC0"/>
    <w:rsid w:val="5CF66BF3"/>
    <w:rsid w:val="5D290C69"/>
    <w:rsid w:val="5F2D4A41"/>
    <w:rsid w:val="60C74F6C"/>
    <w:rsid w:val="61025A59"/>
    <w:rsid w:val="613D5BBC"/>
    <w:rsid w:val="61536C39"/>
    <w:rsid w:val="62944DD7"/>
    <w:rsid w:val="6319381F"/>
    <w:rsid w:val="63C25DC5"/>
    <w:rsid w:val="63C62057"/>
    <w:rsid w:val="64571EF5"/>
    <w:rsid w:val="64FB113D"/>
    <w:rsid w:val="656152C6"/>
    <w:rsid w:val="6587477F"/>
    <w:rsid w:val="658C3A08"/>
    <w:rsid w:val="65C031CA"/>
    <w:rsid w:val="65CE6852"/>
    <w:rsid w:val="66267C04"/>
    <w:rsid w:val="663F505A"/>
    <w:rsid w:val="66EE5541"/>
    <w:rsid w:val="67924660"/>
    <w:rsid w:val="68407834"/>
    <w:rsid w:val="6883293E"/>
    <w:rsid w:val="688412AD"/>
    <w:rsid w:val="68EB1B71"/>
    <w:rsid w:val="6AAD2300"/>
    <w:rsid w:val="6B474EF5"/>
    <w:rsid w:val="6C0A5AC5"/>
    <w:rsid w:val="6C560CAE"/>
    <w:rsid w:val="6C576495"/>
    <w:rsid w:val="6D903FF5"/>
    <w:rsid w:val="6DA955B8"/>
    <w:rsid w:val="6DE346AB"/>
    <w:rsid w:val="6DE5391A"/>
    <w:rsid w:val="6EFD1324"/>
    <w:rsid w:val="6F5A53AC"/>
    <w:rsid w:val="6FAC003D"/>
    <w:rsid w:val="6FD42A1F"/>
    <w:rsid w:val="6FE55E12"/>
    <w:rsid w:val="6FFB2E76"/>
    <w:rsid w:val="708F6F7F"/>
    <w:rsid w:val="70D94BD3"/>
    <w:rsid w:val="71C34D91"/>
    <w:rsid w:val="72DB435C"/>
    <w:rsid w:val="72E2613A"/>
    <w:rsid w:val="72F771F4"/>
    <w:rsid w:val="73934AD2"/>
    <w:rsid w:val="750837F0"/>
    <w:rsid w:val="754758CF"/>
    <w:rsid w:val="758C2332"/>
    <w:rsid w:val="764F62AB"/>
    <w:rsid w:val="765C45EC"/>
    <w:rsid w:val="768A7619"/>
    <w:rsid w:val="772E1EBA"/>
    <w:rsid w:val="781926BC"/>
    <w:rsid w:val="796D60A4"/>
    <w:rsid w:val="79A031D5"/>
    <w:rsid w:val="7A1525F7"/>
    <w:rsid w:val="7B420052"/>
    <w:rsid w:val="7BD06A28"/>
    <w:rsid w:val="7C3A7C0B"/>
    <w:rsid w:val="7C5248E4"/>
    <w:rsid w:val="7C566698"/>
    <w:rsid w:val="7C5866A3"/>
    <w:rsid w:val="7CBC466C"/>
    <w:rsid w:val="7D7406BB"/>
    <w:rsid w:val="7DE94331"/>
    <w:rsid w:val="7F446A19"/>
    <w:rsid w:val="7F74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rPr>
      <w:rFonts w:hint="eastAsia" w:ascii="宋体" w:hAnsi="宋体" w:eastAsia="宋体" w:cs="Times New Roman"/>
      <w:sz w:val="24"/>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pPr>
    <w:rPr>
      <w:sz w:val="18"/>
      <w:szCs w:val="18"/>
    </w:rPr>
  </w:style>
  <w:style w:type="paragraph" w:styleId="3">
    <w:name w:val="header"/>
    <w:basedOn w:val="1"/>
    <w:qFormat/>
    <w:uiPriority w:val="0"/>
    <w:pPr>
      <w:tabs>
        <w:tab w:val="center" w:pos="4153"/>
        <w:tab w:val="right" w:pos="8306"/>
      </w:tabs>
      <w:snapToGrid w:val="0"/>
      <w:jc w:val="center"/>
    </w:pPr>
    <w:rPr>
      <w:sz w:val="18"/>
      <w:szCs w:val="18"/>
    </w:rPr>
  </w:style>
  <w:style w:type="paragraph" w:styleId="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5">
    <w:name w:val="Normal (Web)"/>
    <w:basedOn w:val="1"/>
    <w:unhideWhenUsed/>
    <w:qFormat/>
    <w:uiPriority w:val="0"/>
    <w:pPr>
      <w:spacing w:before="100" w:beforeAutospacing="1" w:after="100" w:afterAutospacing="1"/>
    </w:p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qFormat/>
    <w:uiPriority w:val="0"/>
    <w:rPr>
      <w:b/>
    </w:rPr>
  </w:style>
  <w:style w:type="paragraph" w:customStyle="1" w:styleId="10">
    <w:name w:val="列出段落1"/>
    <w:basedOn w:val="1"/>
    <w:qFormat/>
    <w:uiPriority w:val="99"/>
    <w:pPr>
      <w:ind w:firstLine="420" w:firstLineChars="200"/>
    </w:pPr>
    <w:rPr>
      <w:rFonts w:hint="default"/>
    </w:rPr>
  </w:style>
  <w:style w:type="paragraph" w:customStyle="1" w:styleId="11">
    <w:name w:val="普通(网站) Char"/>
    <w:qFormat/>
    <w:uiPriority w:val="0"/>
    <w:pPr>
      <w:spacing w:before="100" w:beforeAutospacing="1" w:after="100" w:afterAutospacing="1"/>
    </w:pPr>
    <w:rPr>
      <w:rFonts w:ascii="宋体" w:hAnsi="宋体" w:eastAsia="宋体" w:cs="Times New Roman"/>
      <w:sz w:val="24"/>
      <w:szCs w:val="24"/>
      <w:lang w:val="en-US" w:eastAsia="zh-CN" w:bidi="ar-SA"/>
    </w:rPr>
  </w:style>
  <w:style w:type="character" w:customStyle="1" w:styleId="12">
    <w:name w:val="21"/>
    <w:qFormat/>
    <w:uiPriority w:val="0"/>
    <w:rPr>
      <w:rFonts w:hint="default" w:ascii="Wingdings" w:hAnsi="Wingdings" w:cs="Wingdings"/>
      <w:b/>
      <w:bCs/>
    </w:rPr>
  </w:style>
  <w:style w:type="paragraph" w:customStyle="1" w:styleId="13">
    <w:name w:val="列出段落2"/>
    <w:qFormat/>
    <w:uiPriority w:val="99"/>
    <w:pPr>
      <w:ind w:firstLine="420" w:firstLineChars="200"/>
    </w:pPr>
    <w:rPr>
      <w:rFonts w:ascii="宋体" w:hAnsi="宋体" w:eastAsia="宋体" w:cs="Times New Roman"/>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20</Pages>
  <Words>9258</Words>
  <Characters>11647</Characters>
  <Lines>192</Lines>
  <Paragraphs>54</Paragraphs>
  <TotalTime>15</TotalTime>
  <ScaleCrop>false</ScaleCrop>
  <LinksUpToDate>false</LinksUpToDate>
  <CharactersWithSpaces>12844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2024-07-11T02:00:00Z</dcterms:created>
  <dc:creator>Administrator</dc:creator>
  <cp:lastModifiedBy>sasen</cp:lastModifiedBy>
  <cp:lastPrinted>2024-10-16T08:39:00Z</cp:lastPrinted>
  <dcterms:modified xsi:type="dcterms:W3CDTF">2024-10-17T09:52:28Z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BB46EABDBB2749749395447164B066B3_12</vt:lpwstr>
  </property>
</Properties>
</file>